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05F6B7D0" w:rsidR="00F6382B" w:rsidRDefault="00EE05EC" w:rsidP="00D20DD9">
      <w:pPr>
        <w:tabs>
          <w:tab w:val="right" w:pos="102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936813">
        <w:rPr>
          <w:rFonts w:ascii="Arial" w:hAnsi="Arial" w:cs="Arial"/>
          <w:b/>
          <w:sz w:val="24"/>
          <w:szCs w:val="24"/>
          <w:lang w:val="en-US"/>
        </w:rPr>
        <w:t xml:space="preserve"> </w:t>
      </w:r>
      <w:r w:rsidR="008221AA">
        <w:rPr>
          <w:rFonts w:ascii="Arial" w:hAnsi="Arial" w:cs="Arial"/>
          <w:b/>
          <w:sz w:val="24"/>
          <w:szCs w:val="24"/>
          <w:lang w:val="en-US"/>
        </w:rPr>
        <w:t>#9</w:t>
      </w:r>
      <w:r w:rsidR="00E00753">
        <w:rPr>
          <w:rFonts w:ascii="Arial" w:hAnsi="Arial" w:cs="Arial"/>
          <w:b/>
          <w:sz w:val="24"/>
          <w:szCs w:val="24"/>
          <w:lang w:val="en-US"/>
        </w:rPr>
        <w:t>4</w:t>
      </w:r>
      <w:r w:rsidR="00515D1D">
        <w:rPr>
          <w:rFonts w:ascii="Arial" w:hAnsi="Arial" w:cs="Arial"/>
          <w:b/>
          <w:sz w:val="24"/>
          <w:szCs w:val="24"/>
          <w:lang w:val="en-US"/>
        </w:rPr>
        <w:t>bis</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B8636F">
        <w:rPr>
          <w:rFonts w:ascii="Arial" w:hAnsi="Arial" w:cs="Arial"/>
          <w:b/>
          <w:sz w:val="24"/>
          <w:szCs w:val="24"/>
          <w:lang w:val="en-US"/>
        </w:rPr>
        <w:t>R1</w:t>
      </w:r>
      <w:r w:rsidR="00804D9A" w:rsidRPr="00B8636F">
        <w:rPr>
          <w:rFonts w:ascii="Arial" w:hAnsi="Arial" w:cs="Arial"/>
          <w:b/>
          <w:sz w:val="24"/>
          <w:szCs w:val="24"/>
          <w:lang w:val="en-US"/>
        </w:rPr>
        <w:t>-</w:t>
      </w:r>
      <w:r w:rsidR="00F6675C" w:rsidRPr="001F2D54">
        <w:rPr>
          <w:rFonts w:ascii="Arial" w:hAnsi="Arial" w:cs="Arial"/>
          <w:b/>
          <w:bCs/>
          <w:sz w:val="24"/>
          <w:szCs w:val="24"/>
        </w:rPr>
        <w:t>18</w:t>
      </w:r>
      <w:r w:rsidR="00036276">
        <w:rPr>
          <w:rFonts w:ascii="Arial" w:hAnsi="Arial" w:cs="Arial"/>
          <w:b/>
          <w:bCs/>
          <w:sz w:val="24"/>
          <w:szCs w:val="24"/>
        </w:rPr>
        <w:t>10470</w:t>
      </w:r>
      <w:r w:rsidR="00F6675C" w:rsidDel="00F6675C">
        <w:rPr>
          <w:rFonts w:ascii="Arial" w:hAnsi="Arial" w:cs="Arial"/>
          <w:b/>
          <w:sz w:val="24"/>
          <w:szCs w:val="24"/>
          <w:lang w:val="en-US"/>
        </w:rPr>
        <w:t xml:space="preserve"> </w:t>
      </w:r>
    </w:p>
    <w:p w14:paraId="7F62C996" w14:textId="34E0C9A9" w:rsidR="00EE05EC" w:rsidRPr="006A1E13" w:rsidRDefault="00515D1D" w:rsidP="00F6382B">
      <w:pPr>
        <w:tabs>
          <w:tab w:val="right" w:pos="9360"/>
        </w:tabs>
        <w:spacing w:after="0"/>
        <w:rPr>
          <w:rFonts w:ascii="Arial" w:hAnsi="Arial" w:cs="Arial"/>
          <w:b/>
          <w:sz w:val="24"/>
          <w:szCs w:val="24"/>
          <w:lang w:val="en-US"/>
        </w:rPr>
      </w:pPr>
      <w:r>
        <w:rPr>
          <w:rFonts w:ascii="Arial" w:hAnsi="Arial" w:cs="Arial"/>
          <w:b/>
          <w:sz w:val="24"/>
          <w:szCs w:val="24"/>
          <w:lang w:val="en-US"/>
        </w:rPr>
        <w:t>Chengdu</w:t>
      </w:r>
      <w:r w:rsidR="00E00753">
        <w:rPr>
          <w:rFonts w:ascii="Arial" w:hAnsi="Arial" w:cs="Arial"/>
          <w:b/>
          <w:sz w:val="24"/>
          <w:szCs w:val="24"/>
          <w:lang w:val="en-US"/>
        </w:rPr>
        <w:t xml:space="preserve">, </w:t>
      </w:r>
      <w:r>
        <w:rPr>
          <w:rFonts w:ascii="Arial" w:hAnsi="Arial" w:cs="Arial"/>
          <w:b/>
          <w:sz w:val="24"/>
          <w:szCs w:val="24"/>
          <w:lang w:val="en-US"/>
        </w:rPr>
        <w:t>China</w:t>
      </w:r>
      <w:r w:rsidR="00E00753">
        <w:rPr>
          <w:rFonts w:ascii="Arial" w:hAnsi="Arial" w:cs="Arial"/>
          <w:b/>
          <w:sz w:val="24"/>
          <w:szCs w:val="24"/>
          <w:lang w:val="en-US"/>
        </w:rPr>
        <w:t>,</w:t>
      </w:r>
      <w:r>
        <w:rPr>
          <w:rFonts w:ascii="Arial" w:hAnsi="Arial" w:cs="Arial"/>
          <w:b/>
          <w:sz w:val="24"/>
          <w:szCs w:val="24"/>
          <w:lang w:val="en-US"/>
        </w:rPr>
        <w:t xml:space="preserve"> October</w:t>
      </w:r>
      <w:r w:rsidR="00E00753">
        <w:rPr>
          <w:rFonts w:ascii="Arial" w:hAnsi="Arial" w:cs="Arial"/>
          <w:b/>
          <w:sz w:val="24"/>
          <w:szCs w:val="24"/>
          <w:lang w:val="en-US"/>
        </w:rPr>
        <w:t xml:space="preserve"> </w:t>
      </w:r>
      <w:r>
        <w:rPr>
          <w:rFonts w:ascii="Arial" w:hAnsi="Arial" w:cs="Arial"/>
          <w:b/>
          <w:sz w:val="24"/>
          <w:szCs w:val="24"/>
          <w:lang w:val="en-US"/>
        </w:rPr>
        <w:t>8</w:t>
      </w:r>
      <w:r w:rsidR="00E00753" w:rsidRPr="00E00753">
        <w:rPr>
          <w:rFonts w:ascii="Arial" w:hAnsi="Arial" w:cs="Arial"/>
          <w:b/>
          <w:sz w:val="24"/>
          <w:szCs w:val="24"/>
          <w:vertAlign w:val="superscript"/>
          <w:lang w:val="en-US"/>
        </w:rPr>
        <w:t>th</w:t>
      </w:r>
      <w:r w:rsidR="00E00753">
        <w:rPr>
          <w:rFonts w:ascii="Arial" w:hAnsi="Arial" w:cs="Arial"/>
          <w:b/>
          <w:sz w:val="24"/>
          <w:szCs w:val="24"/>
          <w:lang w:val="en-US"/>
        </w:rPr>
        <w:t xml:space="preserve"> – </w:t>
      </w:r>
      <w:r>
        <w:rPr>
          <w:rFonts w:ascii="Arial" w:hAnsi="Arial" w:cs="Arial"/>
          <w:b/>
          <w:sz w:val="24"/>
          <w:szCs w:val="24"/>
          <w:lang w:val="en-US"/>
        </w:rPr>
        <w:t>12</w:t>
      </w:r>
      <w:r w:rsidR="00E00753" w:rsidRPr="00E00753">
        <w:rPr>
          <w:rFonts w:ascii="Arial" w:hAnsi="Arial" w:cs="Arial"/>
          <w:b/>
          <w:sz w:val="24"/>
          <w:szCs w:val="24"/>
          <w:vertAlign w:val="superscript"/>
          <w:lang w:val="en-US"/>
        </w:rPr>
        <w:t>th</w:t>
      </w:r>
      <w:r w:rsidR="00E00753">
        <w:rPr>
          <w:rFonts w:ascii="Arial" w:hAnsi="Arial" w:cs="Arial"/>
          <w:b/>
          <w:sz w:val="24"/>
          <w:szCs w:val="24"/>
          <w:lang w:val="en-US"/>
        </w:rPr>
        <w:t>,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0E5B0E54"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194B28">
        <w:rPr>
          <w:rFonts w:ascii="Arial" w:hAnsi="Arial"/>
          <w:sz w:val="24"/>
          <w:szCs w:val="24"/>
          <w:lang w:val="en-US"/>
        </w:rPr>
        <w:t>2.6.</w:t>
      </w:r>
      <w:r w:rsidR="00B83ABB">
        <w:rPr>
          <w:rFonts w:ascii="Arial" w:hAnsi="Arial"/>
          <w:sz w:val="24"/>
          <w:szCs w:val="24"/>
          <w:lang w:val="en-US"/>
        </w:rPr>
        <w:t>1</w:t>
      </w:r>
      <w:bookmarkStart w:id="0" w:name="Source"/>
      <w:bookmarkEnd w:id="0"/>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3A8918F7"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B83ABB">
        <w:rPr>
          <w:rFonts w:ascii="Arial" w:hAnsi="Arial"/>
          <w:sz w:val="24"/>
          <w:szCs w:val="24"/>
          <w:lang w:val="en-US"/>
        </w:rPr>
        <w:t xml:space="preserve">Remaining details </w:t>
      </w:r>
      <w:r w:rsidR="00036276">
        <w:rPr>
          <w:rFonts w:ascii="Arial" w:hAnsi="Arial"/>
          <w:sz w:val="24"/>
          <w:szCs w:val="24"/>
          <w:lang w:val="en-US"/>
        </w:rPr>
        <w:t xml:space="preserve">on </w:t>
      </w:r>
      <w:r w:rsidR="00AC6C0B">
        <w:rPr>
          <w:rFonts w:ascii="Arial" w:hAnsi="Arial"/>
          <w:sz w:val="24"/>
          <w:szCs w:val="24"/>
          <w:lang w:val="en-US"/>
        </w:rPr>
        <w:t xml:space="preserve">URLLC Evaluation </w:t>
      </w:r>
      <w:r w:rsidR="000514D6">
        <w:rPr>
          <w:rFonts w:ascii="Arial" w:hAnsi="Arial"/>
          <w:sz w:val="24"/>
          <w:szCs w:val="24"/>
          <w:lang w:val="en-US"/>
        </w:rPr>
        <w:t>M</w:t>
      </w:r>
      <w:bookmarkStart w:id="1" w:name="_GoBack"/>
      <w:bookmarkEnd w:id="1"/>
      <w:r w:rsidR="00AC6C0B">
        <w:rPr>
          <w:rFonts w:ascii="Arial" w:hAnsi="Arial"/>
          <w:sz w:val="24"/>
          <w:szCs w:val="24"/>
          <w:lang w:val="en-US"/>
        </w:rPr>
        <w:t>ethodology</w:t>
      </w:r>
      <w:r w:rsidR="00E00753" w:rsidRPr="00211670">
        <w:rPr>
          <w:rFonts w:ascii="Arial" w:hAnsi="Arial"/>
          <w:b/>
          <w:sz w:val="24"/>
          <w:szCs w:val="24"/>
          <w:lang w:val="en-US"/>
        </w:rPr>
        <w:t xml:space="preserve"> </w:t>
      </w:r>
      <w:r w:rsidR="00882F3D" w:rsidRPr="00211670">
        <w:rPr>
          <w:rFonts w:ascii="Arial" w:hAnsi="Arial"/>
          <w:b/>
          <w:sz w:val="24"/>
          <w:szCs w:val="24"/>
          <w:lang w:val="en-US"/>
        </w:rPr>
        <w:t xml:space="preserve">   </w:t>
      </w:r>
    </w:p>
    <w:p w14:paraId="1E567084" w14:textId="04420806"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Discussion</w:t>
      </w:r>
      <w:r w:rsidR="009F6E9C">
        <w:rPr>
          <w:rFonts w:ascii="Arial" w:hAnsi="Arial"/>
          <w:sz w:val="24"/>
          <w:szCs w:val="24"/>
          <w:lang w:val="en-US"/>
        </w:rPr>
        <w:t>, Decision</w:t>
      </w:r>
      <w:r w:rsidRPr="00A17529">
        <w:rPr>
          <w:rFonts w:ascii="Arial" w:hAnsi="Arial"/>
          <w:sz w:val="24"/>
          <w:szCs w:val="24"/>
          <w:lang w:val="en-US"/>
        </w:rPr>
        <w:t xml:space="preserve"> </w:t>
      </w:r>
    </w:p>
    <w:p w14:paraId="75273C82" w14:textId="069CFF75" w:rsidR="00EE05EC" w:rsidRPr="00B71EE7" w:rsidRDefault="00EE05EC" w:rsidP="00EE05EC">
      <w:pPr>
        <w:pStyle w:val="Heading1"/>
        <w:numPr>
          <w:ilvl w:val="0"/>
          <w:numId w:val="3"/>
        </w:numPr>
        <w:rPr>
          <w:b/>
        </w:rPr>
      </w:pPr>
      <w:r w:rsidRPr="00B71EE7">
        <w:rPr>
          <w:b/>
        </w:rPr>
        <w:t>Introduction</w:t>
      </w:r>
    </w:p>
    <w:p w14:paraId="315652B5" w14:textId="11568F6D" w:rsidR="00C4717C" w:rsidRDefault="00CE401B" w:rsidP="00C4717C">
      <w:pPr>
        <w:jc w:val="both"/>
        <w:rPr>
          <w:lang w:val="en-US" w:eastAsia="ko-KR"/>
        </w:rPr>
      </w:pPr>
      <w:r>
        <w:rPr>
          <w:lang w:val="en-US" w:eastAsia="ko-KR"/>
        </w:rPr>
        <w:t>RAN#</w:t>
      </w:r>
      <w:r w:rsidR="00A5674A">
        <w:rPr>
          <w:lang w:val="en-US" w:eastAsia="ko-KR"/>
        </w:rPr>
        <w:t>8</w:t>
      </w:r>
      <w:r>
        <w:rPr>
          <w:lang w:val="en-US" w:eastAsia="ko-KR"/>
        </w:rPr>
        <w:t>0</w:t>
      </w:r>
      <w:r w:rsidR="00A5674A">
        <w:rPr>
          <w:lang w:val="en-US" w:eastAsia="ko-KR"/>
        </w:rPr>
        <w:t xml:space="preserve"> has approved a new SI to study physical layer enhancements for NR URLLC. </w:t>
      </w:r>
      <w:r w:rsidR="00C4717C">
        <w:rPr>
          <w:lang w:val="en-US" w:eastAsia="ko-KR"/>
        </w:rPr>
        <w:t>According to the approved SID</w:t>
      </w:r>
      <w:r w:rsidR="00FA2091">
        <w:rPr>
          <w:lang w:val="en-US" w:eastAsia="ko-KR"/>
        </w:rPr>
        <w:t>,</w:t>
      </w:r>
      <w:r w:rsidR="00C4717C">
        <w:rPr>
          <w:lang w:val="en-US" w:eastAsia="ko-KR"/>
        </w:rPr>
        <w:t xml:space="preserve"> </w:t>
      </w:r>
      <w:r w:rsidR="006E324C">
        <w:rPr>
          <w:lang w:val="en-US" w:eastAsia="ko-KR"/>
        </w:rPr>
        <w:t xml:space="preserve">one of </w:t>
      </w:r>
      <w:r w:rsidR="00C4717C">
        <w:rPr>
          <w:lang w:val="en-US" w:eastAsia="ko-KR"/>
        </w:rPr>
        <w:t>the objective</w:t>
      </w:r>
      <w:r w:rsidR="006E324C">
        <w:rPr>
          <w:lang w:val="en-US" w:eastAsia="ko-KR"/>
        </w:rPr>
        <w:t>s</w:t>
      </w:r>
      <w:r w:rsidR="00C4717C">
        <w:rPr>
          <w:lang w:val="en-US" w:eastAsia="ko-KR"/>
        </w:rPr>
        <w:t xml:space="preserve"> is to develop new improvements in reliability/latency for the URLLC L1</w:t>
      </w:r>
      <w:r w:rsidR="00FA2091">
        <w:rPr>
          <w:lang w:val="en-US" w:eastAsia="ko-KR"/>
        </w:rPr>
        <w:t>,</w:t>
      </w:r>
      <w:r w:rsidR="00C4717C">
        <w:rPr>
          <w:lang w:val="en-US" w:eastAsia="ko-KR"/>
        </w:rPr>
        <w:t xml:space="preserve"> especially </w:t>
      </w:r>
      <w:r w:rsidR="00C4717C">
        <w:rPr>
          <w:bCs/>
          <w:lang w:val="en-US"/>
        </w:rPr>
        <w:t>e</w:t>
      </w:r>
      <w:r w:rsidR="00C4717C" w:rsidRPr="0007292F">
        <w:rPr>
          <w:bCs/>
          <w:lang w:val="en-US"/>
        </w:rPr>
        <w:t>nhancements to scheduling/HARQ/CSI processing timeline (UE and gNB), for existing TTI durations</w:t>
      </w:r>
      <w:r w:rsidR="00FA2091">
        <w:rPr>
          <w:bCs/>
          <w:lang w:val="en-US"/>
        </w:rPr>
        <w:t xml:space="preserve"> </w:t>
      </w:r>
      <w:r w:rsidR="00C4717C">
        <w:rPr>
          <w:lang w:val="en-US" w:eastAsia="ko-KR"/>
        </w:rPr>
        <w:t>[1].</w:t>
      </w:r>
      <w:r>
        <w:rPr>
          <w:lang w:val="en-US" w:eastAsia="ko-KR"/>
        </w:rPr>
        <w:t xml:space="preserve"> </w:t>
      </w:r>
    </w:p>
    <w:p w14:paraId="58979311" w14:textId="6E32046A" w:rsidR="00546334" w:rsidRDefault="00BB2387" w:rsidP="00A72533">
      <w:pPr>
        <w:jc w:val="both"/>
        <w:rPr>
          <w:lang w:val="en-US" w:eastAsia="ko-KR"/>
        </w:rPr>
      </w:pPr>
      <w:r>
        <w:rPr>
          <w:lang w:val="en-US" w:eastAsia="ko-KR"/>
        </w:rPr>
        <w:t xml:space="preserve">In this contribution we </w:t>
      </w:r>
      <w:r w:rsidR="00AC6C0B">
        <w:rPr>
          <w:lang w:val="en-US" w:eastAsia="ko-KR"/>
        </w:rPr>
        <w:t xml:space="preserve">discuss the remaining details related to URLLC simulation assumptions. </w:t>
      </w:r>
      <w:r w:rsidR="00CA3791">
        <w:rPr>
          <w:lang w:val="en-US" w:eastAsia="ko-KR"/>
        </w:rPr>
        <w:t xml:space="preserve"> </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66A175D5" w14:textId="6A98F57B" w:rsidR="007A0AF1" w:rsidRDefault="007A0AF1">
      <w:pPr>
        <w:numPr>
          <w:ilvl w:val="0"/>
          <w:numId w:val="1"/>
        </w:numPr>
        <w:jc w:val="both"/>
      </w:pPr>
      <w:r>
        <w:t xml:space="preserve">Section </w:t>
      </w:r>
      <w:r w:rsidR="00B83ABB">
        <w:t>1</w:t>
      </w:r>
      <w:r>
        <w:t xml:space="preserve"> contains important considerations for analysis and simulation of URLLC performance in Rel. 16.</w:t>
      </w:r>
    </w:p>
    <w:p w14:paraId="594C173C" w14:textId="17E8BB11" w:rsidR="00EA3244" w:rsidRPr="00A500A5" w:rsidRDefault="00EB7B82" w:rsidP="00B83ABB">
      <w:pPr>
        <w:numPr>
          <w:ilvl w:val="0"/>
          <w:numId w:val="1"/>
        </w:numPr>
        <w:jc w:val="both"/>
      </w:pPr>
      <w:r>
        <w:t xml:space="preserve">Section </w:t>
      </w:r>
      <w:r w:rsidR="00B83ABB">
        <w:t>2</w:t>
      </w:r>
      <w:r w:rsidR="000A63EF">
        <w:t xml:space="preserve"> </w:t>
      </w:r>
      <w:r w:rsidR="00F15248">
        <w:t xml:space="preserve">presents a summary and conclusions. </w:t>
      </w:r>
      <w:bookmarkStart w:id="3" w:name="_Hlk506272084"/>
    </w:p>
    <w:p w14:paraId="4F74B410" w14:textId="565D4B59" w:rsidR="007F7031" w:rsidRDefault="007252C7" w:rsidP="00EA3244">
      <w:pPr>
        <w:pStyle w:val="Heading1"/>
        <w:numPr>
          <w:ilvl w:val="0"/>
          <w:numId w:val="3"/>
        </w:numPr>
        <w:jc w:val="both"/>
        <w:rPr>
          <w:b/>
        </w:rPr>
      </w:pPr>
      <w:r>
        <w:rPr>
          <w:b/>
        </w:rPr>
        <w:t xml:space="preserve">Remaining details on </w:t>
      </w:r>
      <w:r w:rsidR="00EA3244">
        <w:rPr>
          <w:b/>
        </w:rPr>
        <w:t xml:space="preserve">URLLC </w:t>
      </w:r>
      <w:r>
        <w:rPr>
          <w:b/>
        </w:rPr>
        <w:t>evaluation methodology</w:t>
      </w:r>
    </w:p>
    <w:p w14:paraId="5724302A" w14:textId="21519E36" w:rsidR="00EA3244" w:rsidRDefault="007A1C09" w:rsidP="005E0C94">
      <w:pPr>
        <w:pStyle w:val="Heading1"/>
        <w:ind w:left="0" w:firstLine="0"/>
        <w:jc w:val="both"/>
        <w:rPr>
          <w:rFonts w:ascii="Times New Roman" w:hAnsi="Times New Roman"/>
          <w:sz w:val="20"/>
        </w:rPr>
      </w:pPr>
      <w:r>
        <w:rPr>
          <w:rFonts w:ascii="Times New Roman" w:hAnsi="Times New Roman"/>
          <w:sz w:val="20"/>
        </w:rPr>
        <w:t>After RAN1#94 meeting, RAN1 agreed to have an email discussion to reach agreement</w:t>
      </w:r>
      <w:r w:rsidR="007B4F75">
        <w:rPr>
          <w:rFonts w:ascii="Times New Roman" w:hAnsi="Times New Roman"/>
          <w:sz w:val="20"/>
        </w:rPr>
        <w:t xml:space="preserve"> on simulation assumption details that has been presented in [2].</w:t>
      </w:r>
      <w:r>
        <w:rPr>
          <w:rFonts w:ascii="Times New Roman" w:hAnsi="Times New Roman"/>
          <w:sz w:val="20"/>
        </w:rPr>
        <w:t xml:space="preserve"> </w:t>
      </w:r>
      <w:r w:rsidR="007B4F75">
        <w:rPr>
          <w:rFonts w:ascii="Times New Roman" w:hAnsi="Times New Roman"/>
          <w:sz w:val="20"/>
        </w:rPr>
        <w:t>In this document we present our view on</w:t>
      </w:r>
      <w:r>
        <w:rPr>
          <w:rFonts w:ascii="Times New Roman" w:hAnsi="Times New Roman"/>
          <w:sz w:val="20"/>
        </w:rPr>
        <w:t xml:space="preserve"> conditions that we see as being important in URLLC performance evaluation:</w:t>
      </w:r>
    </w:p>
    <w:p w14:paraId="6DA60D0D" w14:textId="2FBAFFE3" w:rsidR="007A1C09" w:rsidRPr="005E0C94" w:rsidRDefault="007A1C09" w:rsidP="007B4F75">
      <w:pPr>
        <w:pStyle w:val="ListParagraph"/>
        <w:numPr>
          <w:ilvl w:val="0"/>
          <w:numId w:val="22"/>
        </w:numPr>
        <w:ind w:left="360" w:firstLine="0"/>
        <w:jc w:val="both"/>
        <w:rPr>
          <w:b/>
          <w:lang w:eastAsia="ko-KR"/>
        </w:rPr>
      </w:pPr>
      <w:r w:rsidRPr="005E0C94">
        <w:rPr>
          <w:b/>
          <w:lang w:eastAsia="ko-KR"/>
        </w:rPr>
        <w:t>Selection of S</w:t>
      </w:r>
      <w:r w:rsidR="00BC65AD">
        <w:rPr>
          <w:b/>
          <w:lang w:eastAsia="ko-KR"/>
        </w:rPr>
        <w:t>ub-Carrier Spacing (S</w:t>
      </w:r>
      <w:r w:rsidRPr="005E0C94">
        <w:rPr>
          <w:b/>
          <w:lang w:eastAsia="ko-KR"/>
        </w:rPr>
        <w:t>CS</w:t>
      </w:r>
      <w:r w:rsidR="00BC65AD">
        <w:rPr>
          <w:b/>
          <w:lang w:eastAsia="ko-KR"/>
        </w:rPr>
        <w:t>)</w:t>
      </w:r>
    </w:p>
    <w:p w14:paraId="6F90EA0F" w14:textId="49E83333" w:rsidR="00942DD9" w:rsidRDefault="007A1C09" w:rsidP="008026E3">
      <w:pPr>
        <w:pStyle w:val="ListParagraph"/>
        <w:ind w:left="0"/>
        <w:jc w:val="both"/>
        <w:rPr>
          <w:lang w:eastAsia="ko-KR"/>
        </w:rPr>
      </w:pPr>
      <w:r>
        <w:rPr>
          <w:lang w:eastAsia="ko-KR"/>
        </w:rPr>
        <w:t xml:space="preserve">We think during the study phase no restriction should be placed on the selection of SCS value to be considered in analysis and simulations. We know it would be challenging to meet aggressive end-to-end latency requirements (on the order of 1 ms or even lower) with the smaller SCS such as 15 KHz. However, we think that even with this low SCS, some URLLC applications could be supported and it would be an important part of this study to identify the challenges to support URLLC latency and reliability requirements for this and any other value of </w:t>
      </w:r>
      <w:r w:rsidR="00942DD9">
        <w:rPr>
          <w:lang w:eastAsia="ko-KR"/>
        </w:rPr>
        <w:t xml:space="preserve">SCS. Therefore, we suggest that no SCS value should be made a default value during the study phase </w:t>
      </w:r>
      <w:r w:rsidR="00CB1FE2">
        <w:rPr>
          <w:lang w:eastAsia="ko-KR"/>
        </w:rPr>
        <w:t xml:space="preserve">and that SCS = 15 </w:t>
      </w:r>
      <w:proofErr w:type="spellStart"/>
      <w:r w:rsidR="00CB1FE2">
        <w:rPr>
          <w:lang w:eastAsia="ko-KR"/>
        </w:rPr>
        <w:t>KHz</w:t>
      </w:r>
      <w:proofErr w:type="spellEnd"/>
      <w:r w:rsidR="00CB1FE2">
        <w:rPr>
          <w:lang w:eastAsia="ko-KR"/>
        </w:rPr>
        <w:t xml:space="preserve"> should be included </w:t>
      </w:r>
      <w:r w:rsidR="00942DD9">
        <w:rPr>
          <w:lang w:eastAsia="ko-KR"/>
        </w:rPr>
        <w:t>during the Rel. 16 study phase</w:t>
      </w:r>
      <w:r w:rsidR="00CB1FE2">
        <w:rPr>
          <w:lang w:eastAsia="ko-KR"/>
        </w:rPr>
        <w:t>, especially for applications deployed in macro-cellular environments</w:t>
      </w:r>
      <w:r w:rsidR="00942DD9">
        <w:rPr>
          <w:lang w:eastAsia="ko-KR"/>
        </w:rPr>
        <w:t>.</w:t>
      </w:r>
      <w:r w:rsidR="00CB1FE2">
        <w:rPr>
          <w:lang w:eastAsia="ko-KR"/>
        </w:rPr>
        <w:t xml:space="preserve"> See entry for SCS in Table a, following Proposal 13 in [2] </w:t>
      </w:r>
      <w:proofErr w:type="gramStart"/>
      <w:r w:rsidR="00CB1FE2">
        <w:rPr>
          <w:lang w:eastAsia="ko-KR"/>
        </w:rPr>
        <w:t>and also</w:t>
      </w:r>
      <w:proofErr w:type="gramEnd"/>
      <w:r w:rsidR="00CB1FE2">
        <w:rPr>
          <w:lang w:eastAsia="ko-KR"/>
        </w:rPr>
        <w:t xml:space="preserve"> summary of views on Question 8.</w:t>
      </w:r>
    </w:p>
    <w:p w14:paraId="5F56EC9E" w14:textId="77777777" w:rsidR="00942DD9" w:rsidRDefault="00942DD9" w:rsidP="008026E3">
      <w:pPr>
        <w:pStyle w:val="ListParagraph"/>
        <w:ind w:left="0"/>
        <w:jc w:val="both"/>
        <w:rPr>
          <w:lang w:eastAsia="ko-KR"/>
        </w:rPr>
      </w:pPr>
    </w:p>
    <w:p w14:paraId="558447D8" w14:textId="4772C6E1" w:rsidR="00942DD9" w:rsidRPr="005E0C94" w:rsidRDefault="00942DD9" w:rsidP="008026E3">
      <w:pPr>
        <w:pStyle w:val="ListParagraph"/>
        <w:numPr>
          <w:ilvl w:val="0"/>
          <w:numId w:val="22"/>
        </w:numPr>
        <w:jc w:val="both"/>
        <w:rPr>
          <w:b/>
          <w:lang w:eastAsia="ko-KR"/>
        </w:rPr>
      </w:pPr>
      <w:r w:rsidRPr="005E0C94">
        <w:rPr>
          <w:b/>
          <w:lang w:eastAsia="ko-KR"/>
        </w:rPr>
        <w:t>Selection of End-to-End Latency Target</w:t>
      </w:r>
    </w:p>
    <w:p w14:paraId="19447C95" w14:textId="3E0630E2" w:rsidR="003A5C0D" w:rsidRDefault="003A5C0D" w:rsidP="008026E3">
      <w:pPr>
        <w:jc w:val="both"/>
        <w:rPr>
          <w:lang w:eastAsia="ko-KR"/>
        </w:rPr>
      </w:pPr>
      <w:r>
        <w:rPr>
          <w:lang w:eastAsia="ko-KR"/>
        </w:rPr>
        <w:t>In our view much confusion has arisen during discussion of end-to-end latency targets for URLLC evaluation and we offer the following to clarify this point</w:t>
      </w:r>
      <w:r w:rsidR="008F4270">
        <w:rPr>
          <w:lang w:eastAsia="ko-KR"/>
        </w:rPr>
        <w:t xml:space="preserve"> (see entry for end-to-end latency for Factory Automation in Table 1 of [2])</w:t>
      </w:r>
      <w:r>
        <w:rPr>
          <w:lang w:eastAsia="ko-KR"/>
        </w:rPr>
        <w:t>. In general, end-to-end latency includes several delay components (transmission, propagation, core network and reception</w:t>
      </w:r>
      <w:r w:rsidR="007B33EE">
        <w:rPr>
          <w:lang w:eastAsia="ko-KR"/>
        </w:rPr>
        <w:t>/processing</w:t>
      </w:r>
      <w:r>
        <w:rPr>
          <w:lang w:eastAsia="ko-KR"/>
        </w:rPr>
        <w:t xml:space="preserve"> delays).  RAN1 should assess the end-to-end latency due to the radio network, that is excluding the core network</w:t>
      </w:r>
      <w:r w:rsidR="00046626">
        <w:rPr>
          <w:lang w:eastAsia="ko-KR"/>
        </w:rPr>
        <w:t xml:space="preserve"> delay</w:t>
      </w:r>
      <w:r w:rsidR="008F4270">
        <w:rPr>
          <w:lang w:eastAsia="ko-KR"/>
        </w:rPr>
        <w:t xml:space="preserve"> (the entry in Table 1 of [2] assumes a 1 </w:t>
      </w:r>
      <w:proofErr w:type="spellStart"/>
      <w:r w:rsidR="008F4270">
        <w:rPr>
          <w:lang w:eastAsia="ko-KR"/>
        </w:rPr>
        <w:t>ms</w:t>
      </w:r>
      <w:proofErr w:type="spellEnd"/>
      <w:r w:rsidR="008F4270">
        <w:rPr>
          <w:lang w:eastAsia="ko-KR"/>
        </w:rPr>
        <w:t xml:space="preserve"> core network delay, but in practice this number is a random variable and can be much larger than 1 </w:t>
      </w:r>
      <w:proofErr w:type="spellStart"/>
      <w:r w:rsidR="008F4270">
        <w:rPr>
          <w:lang w:eastAsia="ko-KR"/>
        </w:rPr>
        <w:t>ms</w:t>
      </w:r>
      <w:proofErr w:type="spellEnd"/>
      <w:r w:rsidR="008F4270">
        <w:rPr>
          <w:lang w:eastAsia="ko-KR"/>
        </w:rPr>
        <w:t>)</w:t>
      </w:r>
      <w:r>
        <w:rPr>
          <w:lang w:eastAsia="ko-KR"/>
        </w:rPr>
        <w:t>. From the beginning of URLLC-related work during Rel.15, we have a</w:t>
      </w:r>
      <w:r w:rsidR="00D47F63">
        <w:rPr>
          <w:lang w:eastAsia="ko-KR"/>
        </w:rPr>
        <w:t>ssumed a target of 1</w:t>
      </w:r>
      <w:r>
        <w:rPr>
          <w:lang w:eastAsia="ko-KR"/>
        </w:rPr>
        <w:t>ms end-to</w:t>
      </w:r>
      <w:r w:rsidR="00046626">
        <w:rPr>
          <w:lang w:eastAsia="ko-KR"/>
        </w:rPr>
        <w:t>-end latency for the radio network, as illustrated in Figure 8 of [</w:t>
      </w:r>
      <w:r w:rsidR="007B4F75">
        <w:rPr>
          <w:lang w:eastAsia="ko-KR"/>
        </w:rPr>
        <w:t>3</w:t>
      </w:r>
      <w:r w:rsidR="00046626">
        <w:rPr>
          <w:lang w:eastAsia="ko-KR"/>
        </w:rPr>
        <w:t>]</w:t>
      </w:r>
      <w:r w:rsidR="00E263D8">
        <w:rPr>
          <w:lang w:eastAsia="ko-KR"/>
        </w:rPr>
        <w:t xml:space="preserve"> (</w:t>
      </w:r>
      <w:proofErr w:type="gramStart"/>
      <w:r w:rsidR="00E263D8">
        <w:rPr>
          <w:lang w:eastAsia="ko-KR"/>
        </w:rPr>
        <w:t>and also</w:t>
      </w:r>
      <w:proofErr w:type="gramEnd"/>
      <w:r w:rsidR="00E263D8">
        <w:rPr>
          <w:lang w:eastAsia="ko-KR"/>
        </w:rPr>
        <w:t xml:space="preserve"> Figure 1 of </w:t>
      </w:r>
      <w:r w:rsidR="00E263D8">
        <w:rPr>
          <w:lang w:val="en-US" w:eastAsia="ko-KR"/>
        </w:rPr>
        <w:t>[4])</w:t>
      </w:r>
      <w:r w:rsidR="00046626">
        <w:rPr>
          <w:lang w:eastAsia="ko-KR"/>
        </w:rPr>
        <w:t>, reproduced below for convenience. Note that this figure illustrates that latency is measured from the instant the UE receives a packet to be sent on the UL (i.e., sensor input) to the instant the packet is decoded on the DL (i.e., beginning of actuator action).  With this convention in mind, we favour clearly specifying the end-to-end radio network latency target to be 1 ms, which would be consistent with previous URLLC work done in RAN1.</w:t>
      </w:r>
    </w:p>
    <w:p w14:paraId="5FB86C25" w14:textId="1854FF1F" w:rsidR="00046626" w:rsidRDefault="00046626" w:rsidP="008026E3">
      <w:pPr>
        <w:jc w:val="center"/>
        <w:rPr>
          <w:lang w:eastAsia="ko-KR"/>
        </w:rPr>
      </w:pPr>
      <w:r w:rsidRPr="00046626">
        <w:rPr>
          <w:noProof/>
          <w:lang w:val="en-US"/>
        </w:rPr>
        <w:lastRenderedPageBreak/>
        <w:drawing>
          <wp:inline distT="0" distB="0" distL="0" distR="0" wp14:anchorId="5471E9F3" wp14:editId="1254E82D">
            <wp:extent cx="6124575" cy="3495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3495675"/>
                    </a:xfrm>
                    <a:prstGeom prst="rect">
                      <a:avLst/>
                    </a:prstGeom>
                    <a:noFill/>
                    <a:ln>
                      <a:noFill/>
                    </a:ln>
                  </pic:spPr>
                </pic:pic>
              </a:graphicData>
            </a:graphic>
          </wp:inline>
        </w:drawing>
      </w:r>
    </w:p>
    <w:p w14:paraId="0FCC07BB" w14:textId="12D12367" w:rsidR="00E263D8" w:rsidRPr="00E263D8" w:rsidRDefault="00E263D8" w:rsidP="008026E3">
      <w:pPr>
        <w:jc w:val="center"/>
        <w:rPr>
          <w:b/>
          <w:lang w:eastAsia="ko-KR"/>
        </w:rPr>
      </w:pPr>
      <w:r w:rsidRPr="00E263D8">
        <w:rPr>
          <w:b/>
          <w:lang w:eastAsia="ko-KR"/>
        </w:rPr>
        <w:t xml:space="preserve">Figure 1. </w:t>
      </w:r>
      <w:r>
        <w:rPr>
          <w:b/>
          <w:lang w:eastAsia="ko-KR"/>
        </w:rPr>
        <w:t xml:space="preserve"> </w:t>
      </w:r>
      <w:r w:rsidRPr="00E263D8">
        <w:rPr>
          <w:b/>
          <w:lang w:eastAsia="ko-KR"/>
        </w:rPr>
        <w:t>Illustration of radio network end-to-end latency target (Figure 8 of [3])</w:t>
      </w:r>
    </w:p>
    <w:p w14:paraId="11BFBCA3" w14:textId="77777777" w:rsidR="00046626" w:rsidRDefault="00046626" w:rsidP="005E0C94">
      <w:pPr>
        <w:jc w:val="both"/>
        <w:rPr>
          <w:lang w:eastAsia="ko-KR"/>
        </w:rPr>
      </w:pPr>
    </w:p>
    <w:p w14:paraId="408D59D9" w14:textId="4B1E07B9" w:rsidR="00440C17" w:rsidRPr="005E0C94" w:rsidRDefault="003A5C0D" w:rsidP="005E0C94">
      <w:pPr>
        <w:pStyle w:val="ListParagraph"/>
        <w:numPr>
          <w:ilvl w:val="0"/>
          <w:numId w:val="22"/>
        </w:numPr>
        <w:jc w:val="both"/>
        <w:rPr>
          <w:b/>
          <w:lang w:eastAsia="ko-KR"/>
        </w:rPr>
      </w:pPr>
      <w:r w:rsidRPr="005E0C94">
        <w:rPr>
          <w:b/>
          <w:lang w:eastAsia="ko-KR"/>
        </w:rPr>
        <w:t>Number of users per cell for Factory Automation</w:t>
      </w:r>
    </w:p>
    <w:p w14:paraId="5E1FFB3C" w14:textId="1FAED036" w:rsidR="003A5C0D" w:rsidRDefault="003A5C0D" w:rsidP="005E0C94">
      <w:pPr>
        <w:pStyle w:val="ListParagraph"/>
        <w:jc w:val="both"/>
        <w:rPr>
          <w:lang w:eastAsia="ko-KR"/>
        </w:rPr>
      </w:pPr>
    </w:p>
    <w:p w14:paraId="1076595F" w14:textId="78AF961D" w:rsidR="00081364" w:rsidRDefault="00081364" w:rsidP="005E0C94">
      <w:pPr>
        <w:pStyle w:val="ListParagraph"/>
        <w:ind w:left="0"/>
        <w:jc w:val="both"/>
        <w:rPr>
          <w:lang w:eastAsia="ko-KR"/>
        </w:rPr>
      </w:pPr>
      <w:r w:rsidRPr="00081364">
        <w:rPr>
          <w:lang w:eastAsia="ko-KR"/>
        </w:rPr>
        <w:t>As discussed during the RAN1#94, user loads for Factory Automation can range from 10 to 40 or more users per cell</w:t>
      </w:r>
      <w:r w:rsidR="00CB1FE2">
        <w:rPr>
          <w:lang w:eastAsia="ko-KR"/>
        </w:rPr>
        <w:t xml:space="preserve"> (see entry for Factory Automation in Table 1 of [2])</w:t>
      </w:r>
      <w:r w:rsidRPr="00081364">
        <w:rPr>
          <w:lang w:eastAsia="ko-KR"/>
        </w:rPr>
        <w:t>. According to a literature survey</w:t>
      </w:r>
      <w:r>
        <w:rPr>
          <w:lang w:eastAsia="ko-KR"/>
        </w:rPr>
        <w:t xml:space="preserve"> [</w:t>
      </w:r>
      <w:r w:rsidR="00CC71EB">
        <w:rPr>
          <w:lang w:eastAsia="ko-KR"/>
        </w:rPr>
        <w:t>5</w:t>
      </w:r>
      <w:r>
        <w:rPr>
          <w:lang w:eastAsia="ko-KR"/>
        </w:rPr>
        <w:t>] (see Table 1, entries A1-A4)</w:t>
      </w:r>
      <w:r w:rsidRPr="00081364">
        <w:rPr>
          <w:lang w:eastAsia="ko-KR"/>
        </w:rPr>
        <w:t>, Factory Automation device density can range from 0.33 to 3 devices/m</w:t>
      </w:r>
      <w:r w:rsidRPr="005E0C94">
        <w:rPr>
          <w:vertAlign w:val="superscript"/>
          <w:lang w:eastAsia="ko-KR"/>
        </w:rPr>
        <w:t>2</w:t>
      </w:r>
      <w:r w:rsidRPr="00081364">
        <w:rPr>
          <w:lang w:eastAsia="ko-KR"/>
        </w:rPr>
        <w:t>.  Assuming a factory automation floor of 10m x 10m (100 square meters), this would give a range of users from about 30 to 300 users. For Rel-16 development RAN1 could consider a range of 10 to about 100 users per cell for Factory Automation applications. This potentially large user load is consistent with the larger bandwidths envisioned for NR (e.g., 40 MHz or even higher)</w:t>
      </w:r>
      <w:r w:rsidR="00CB1FE2">
        <w:rPr>
          <w:lang w:eastAsia="ko-KR"/>
        </w:rPr>
        <w:t xml:space="preserve"> for large industrial deployments</w:t>
      </w:r>
      <w:r>
        <w:rPr>
          <w:lang w:eastAsia="ko-KR"/>
        </w:rPr>
        <w:t>.</w:t>
      </w:r>
    </w:p>
    <w:p w14:paraId="5A1B2324" w14:textId="77777777" w:rsidR="003A5C0D" w:rsidRDefault="003A5C0D" w:rsidP="005E0C94">
      <w:pPr>
        <w:jc w:val="both"/>
        <w:rPr>
          <w:lang w:eastAsia="ko-KR"/>
        </w:rPr>
      </w:pPr>
    </w:p>
    <w:p w14:paraId="02D150DF" w14:textId="09456CFC" w:rsidR="003A5C0D" w:rsidRPr="005E0C94" w:rsidRDefault="003A5C0D" w:rsidP="005E0C94">
      <w:pPr>
        <w:pStyle w:val="ListParagraph"/>
        <w:numPr>
          <w:ilvl w:val="0"/>
          <w:numId w:val="22"/>
        </w:numPr>
        <w:jc w:val="both"/>
        <w:rPr>
          <w:b/>
          <w:lang w:eastAsia="ko-KR"/>
        </w:rPr>
      </w:pPr>
      <w:r w:rsidRPr="005E0C94">
        <w:rPr>
          <w:b/>
          <w:lang w:eastAsia="ko-KR"/>
        </w:rPr>
        <w:t>Number of TX and RX antennas on the UE side</w:t>
      </w:r>
    </w:p>
    <w:p w14:paraId="39A73E55" w14:textId="5C23B895" w:rsidR="007A1C09" w:rsidRPr="00CB1FE2" w:rsidRDefault="00081364" w:rsidP="005E0C94">
      <w:pPr>
        <w:jc w:val="both"/>
      </w:pPr>
      <w:r>
        <w:rPr>
          <w:lang w:eastAsia="ko-KR"/>
        </w:rPr>
        <w:t>During the email discussion</w:t>
      </w:r>
      <w:r w:rsidR="007B4F75">
        <w:rPr>
          <w:lang w:eastAsia="ko-KR"/>
        </w:rPr>
        <w:t xml:space="preserve"> [2]</w:t>
      </w:r>
      <w:r>
        <w:rPr>
          <w:lang w:eastAsia="ko-KR"/>
        </w:rPr>
        <w:t xml:space="preserve"> on URLLC simulation assumptions </w:t>
      </w:r>
      <w:r w:rsidR="00A75280">
        <w:rPr>
          <w:lang w:eastAsia="ko-KR"/>
        </w:rPr>
        <w:t xml:space="preserve">following the RAN1#94 meeting, </w:t>
      </w:r>
      <w:r>
        <w:rPr>
          <w:lang w:eastAsia="ko-KR"/>
        </w:rPr>
        <w:t>there have been different views on the number of antennas that can be considered for URLLC simulation. Although this issue is still FFS, we think that we should not exclude the simplest applications such as AR/VR</w:t>
      </w:r>
      <w:r w:rsidR="00007664">
        <w:rPr>
          <w:lang w:eastAsia="ko-KR"/>
        </w:rPr>
        <w:t xml:space="preserve"> </w:t>
      </w:r>
      <w:r w:rsidR="00007664" w:rsidRPr="00CB1FE2">
        <w:rPr>
          <w:lang w:eastAsia="ko-KR"/>
        </w:rPr>
        <w:t>(think Microsoft’s Hologens and Facebook’s Oculus)</w:t>
      </w:r>
      <w:r w:rsidRPr="00CB1FE2">
        <w:rPr>
          <w:lang w:eastAsia="ko-KR"/>
        </w:rPr>
        <w:t xml:space="preserve"> where due to space </w:t>
      </w:r>
      <w:r w:rsidR="00007664" w:rsidRPr="00CB1FE2">
        <w:rPr>
          <w:lang w:eastAsia="ko-KR"/>
        </w:rPr>
        <w:t xml:space="preserve">and limited battery </w:t>
      </w:r>
      <w:r w:rsidRPr="00CB1FE2">
        <w:rPr>
          <w:lang w:eastAsia="ko-KR"/>
        </w:rPr>
        <w:t>considerations, a single TX antenna can at most be supported and perhaps a few RX antennas could be supported</w:t>
      </w:r>
      <w:r w:rsidR="00BC65AD" w:rsidRPr="00CB1FE2">
        <w:rPr>
          <w:lang w:eastAsia="ko-KR"/>
        </w:rPr>
        <w:t xml:space="preserve">, e.g., an antenna configuration such as 4 RX/1TX </w:t>
      </w:r>
      <w:r w:rsidR="00604A7D" w:rsidRPr="00CB1FE2">
        <w:rPr>
          <w:lang w:eastAsia="ko-KR"/>
        </w:rPr>
        <w:t xml:space="preserve">or 2RX/1TX </w:t>
      </w:r>
      <w:r w:rsidR="00BC65AD" w:rsidRPr="00CB1FE2">
        <w:rPr>
          <w:lang w:eastAsia="ko-KR"/>
        </w:rPr>
        <w:t>could be considered for these applications.</w:t>
      </w:r>
      <w:r w:rsidR="00CB1FE2">
        <w:rPr>
          <w:lang w:eastAsia="ko-KR"/>
        </w:rPr>
        <w:t xml:space="preserve"> See summary of views on Question 8 in [2].</w:t>
      </w:r>
    </w:p>
    <w:p w14:paraId="71903242" w14:textId="77777777" w:rsidR="007A0AF1" w:rsidRPr="00CB1FE2" w:rsidRDefault="007A0AF1" w:rsidP="005E0C94">
      <w:pPr>
        <w:jc w:val="both"/>
      </w:pPr>
    </w:p>
    <w:bookmarkEnd w:id="3"/>
    <w:p w14:paraId="20A396B5" w14:textId="3145E72A" w:rsidR="00034107" w:rsidRDefault="00B83ABB" w:rsidP="00C70A34">
      <w:pPr>
        <w:pStyle w:val="Heading1"/>
        <w:jc w:val="both"/>
      </w:pPr>
      <w:r>
        <w:rPr>
          <w:b/>
        </w:rPr>
        <w:t>2</w:t>
      </w:r>
      <w:r w:rsidR="00EE05EC">
        <w:tab/>
      </w:r>
      <w:r w:rsidR="00EE05EC" w:rsidRPr="00B71EE7">
        <w:rPr>
          <w:b/>
        </w:rPr>
        <w:t>Conclusion</w:t>
      </w:r>
    </w:p>
    <w:p w14:paraId="241A13A8" w14:textId="42754987" w:rsidR="00716600" w:rsidRPr="007B4F75" w:rsidRDefault="00716600" w:rsidP="000319F8">
      <w:pPr>
        <w:jc w:val="both"/>
      </w:pPr>
      <w:r w:rsidRPr="007B4F75">
        <w:t>Based on the discussion in the above section we propose the following</w:t>
      </w:r>
      <w:r w:rsidR="007B4F75" w:rsidRPr="007B4F75">
        <w:t xml:space="preserve"> assumptions to be considered for the Rel-16 URLLC study</w:t>
      </w:r>
      <w:r w:rsidRPr="007B4F75">
        <w:t>:</w:t>
      </w:r>
    </w:p>
    <w:p w14:paraId="4DAC9EE6" w14:textId="68C1AEF8" w:rsidR="00716600" w:rsidRPr="007B4F75" w:rsidRDefault="00716600" w:rsidP="00716600">
      <w:pPr>
        <w:pStyle w:val="ListParagraph"/>
        <w:ind w:left="0"/>
        <w:jc w:val="both"/>
        <w:rPr>
          <w:b/>
          <w:lang w:eastAsia="ko-KR"/>
        </w:rPr>
      </w:pPr>
      <w:r w:rsidRPr="007B4F75">
        <w:rPr>
          <w:b/>
        </w:rPr>
        <w:t xml:space="preserve">Proposal 1: </w:t>
      </w:r>
      <w:r w:rsidR="00CC71EB">
        <w:rPr>
          <w:b/>
          <w:lang w:eastAsia="ko-KR"/>
        </w:rPr>
        <w:t xml:space="preserve">SCS = 15 </w:t>
      </w:r>
      <w:proofErr w:type="spellStart"/>
      <w:r w:rsidR="00CC71EB">
        <w:rPr>
          <w:b/>
          <w:lang w:eastAsia="ko-KR"/>
        </w:rPr>
        <w:t>KHz</w:t>
      </w:r>
      <w:proofErr w:type="spellEnd"/>
      <w:r w:rsidR="00CC71EB">
        <w:rPr>
          <w:b/>
          <w:lang w:eastAsia="ko-KR"/>
        </w:rPr>
        <w:t xml:space="preserve"> should be included </w:t>
      </w:r>
      <w:r w:rsidRPr="007B4F75">
        <w:rPr>
          <w:b/>
          <w:lang w:eastAsia="ko-KR"/>
        </w:rPr>
        <w:t xml:space="preserve">during the </w:t>
      </w:r>
      <w:r w:rsidR="00CC71EB">
        <w:rPr>
          <w:b/>
          <w:lang w:eastAsia="ko-KR"/>
        </w:rPr>
        <w:t xml:space="preserve">URLLC performance evaluation in the </w:t>
      </w:r>
      <w:r w:rsidRPr="007B4F75">
        <w:rPr>
          <w:b/>
          <w:lang w:eastAsia="ko-KR"/>
        </w:rPr>
        <w:t>Rel. 16 study phase.</w:t>
      </w:r>
      <w:r w:rsidR="00CC71EB">
        <w:rPr>
          <w:b/>
          <w:lang w:eastAsia="ko-KR"/>
        </w:rPr>
        <w:t xml:space="preserve"> Indeed, an important part of this study should be to determine the range of latency and reliability for URLLC applications that could be deployed with LTE networks.</w:t>
      </w:r>
    </w:p>
    <w:p w14:paraId="34118DFA" w14:textId="1A3D6C91" w:rsidR="00716600" w:rsidRPr="00D47F63" w:rsidRDefault="00716600" w:rsidP="00716600">
      <w:pPr>
        <w:jc w:val="both"/>
        <w:rPr>
          <w:b/>
          <w:lang w:eastAsia="ko-KR"/>
        </w:rPr>
      </w:pPr>
      <w:r w:rsidRPr="009F6B13">
        <w:rPr>
          <w:b/>
          <w:lang w:eastAsia="ko-KR"/>
        </w:rPr>
        <w:t xml:space="preserve">Proposal 2: The end-to-end radio network latency target </w:t>
      </w:r>
      <w:r w:rsidR="00CC71EB">
        <w:rPr>
          <w:b/>
          <w:lang w:eastAsia="ko-KR"/>
        </w:rPr>
        <w:t>for Factory Automation should</w:t>
      </w:r>
      <w:r w:rsidRPr="009F6B13">
        <w:rPr>
          <w:b/>
          <w:lang w:eastAsia="ko-KR"/>
        </w:rPr>
        <w:t xml:space="preserve"> be 1 </w:t>
      </w:r>
      <w:proofErr w:type="spellStart"/>
      <w:r w:rsidRPr="009F6B13">
        <w:rPr>
          <w:b/>
          <w:lang w:eastAsia="ko-KR"/>
        </w:rPr>
        <w:t>ms</w:t>
      </w:r>
      <w:proofErr w:type="spellEnd"/>
      <w:r w:rsidRPr="009F6B13">
        <w:rPr>
          <w:b/>
          <w:lang w:eastAsia="ko-KR"/>
        </w:rPr>
        <w:t>, which would be consistent with</w:t>
      </w:r>
      <w:r w:rsidRPr="00A2421D">
        <w:rPr>
          <w:b/>
          <w:lang w:eastAsia="ko-KR"/>
        </w:rPr>
        <w:t xml:space="preserve"> previous URLLC work done in RAN1.</w:t>
      </w:r>
    </w:p>
    <w:p w14:paraId="5B454314" w14:textId="37630367" w:rsidR="00716600" w:rsidRPr="00D47F63" w:rsidRDefault="00716600" w:rsidP="00716600">
      <w:pPr>
        <w:jc w:val="both"/>
        <w:rPr>
          <w:b/>
          <w:lang w:eastAsia="ko-KR"/>
        </w:rPr>
      </w:pPr>
      <w:r w:rsidRPr="00D47F63">
        <w:rPr>
          <w:b/>
          <w:lang w:eastAsia="ko-KR"/>
        </w:rPr>
        <w:t>Proposal 3: RAN1 should consider up to 100 users per cell for Factory Automation applications.</w:t>
      </w:r>
      <w:r w:rsidR="00CC71EB">
        <w:rPr>
          <w:b/>
          <w:lang w:eastAsia="ko-KR"/>
        </w:rPr>
        <w:t xml:space="preserve"> This is appropriate especially as RAN1 considers deployment of carrier bandwidths of 40 MHz or higher.</w:t>
      </w:r>
    </w:p>
    <w:p w14:paraId="31668A2D" w14:textId="71865100" w:rsidR="00716600" w:rsidRPr="00D47F63" w:rsidRDefault="00716600" w:rsidP="00716600">
      <w:pPr>
        <w:jc w:val="both"/>
        <w:rPr>
          <w:b/>
        </w:rPr>
      </w:pPr>
      <w:r w:rsidRPr="00D47F63">
        <w:rPr>
          <w:b/>
          <w:lang w:eastAsia="ko-KR"/>
        </w:rPr>
        <w:lastRenderedPageBreak/>
        <w:t xml:space="preserve">Proposal 4: </w:t>
      </w:r>
      <w:r w:rsidR="000E0C0F">
        <w:rPr>
          <w:b/>
          <w:lang w:eastAsia="ko-KR"/>
        </w:rPr>
        <w:t>On the UE side</w:t>
      </w:r>
      <w:r w:rsidR="00A75280">
        <w:rPr>
          <w:b/>
          <w:lang w:eastAsia="ko-KR"/>
        </w:rPr>
        <w:t xml:space="preserve">, </w:t>
      </w:r>
      <w:r w:rsidRPr="00D47F63">
        <w:rPr>
          <w:b/>
          <w:lang w:eastAsia="ko-KR"/>
        </w:rPr>
        <w:t>4 RX/1TX or 2RX/1TX antenna configuration should be studied</w:t>
      </w:r>
      <w:r w:rsidR="00CC71EB">
        <w:rPr>
          <w:b/>
          <w:lang w:eastAsia="ko-KR"/>
        </w:rPr>
        <w:t xml:space="preserve"> for space and power limited AR/VR devices.</w:t>
      </w:r>
    </w:p>
    <w:p w14:paraId="44E47DB8" w14:textId="0CB7DF5A" w:rsidR="00716600" w:rsidRPr="007B4F75" w:rsidRDefault="00716600" w:rsidP="00716600">
      <w:pPr>
        <w:jc w:val="both"/>
        <w:rPr>
          <w:b/>
          <w:lang w:eastAsia="ko-KR"/>
        </w:rPr>
      </w:pPr>
    </w:p>
    <w:p w14:paraId="7258C4F4" w14:textId="5288B7F4" w:rsidR="00716600" w:rsidRDefault="00716600" w:rsidP="00716600">
      <w:pPr>
        <w:pStyle w:val="ListParagraph"/>
        <w:ind w:left="0"/>
        <w:jc w:val="both"/>
        <w:rPr>
          <w:lang w:eastAsia="ko-KR"/>
        </w:rPr>
      </w:pPr>
    </w:p>
    <w:p w14:paraId="75FD750C" w14:textId="77777777" w:rsidR="0020161F" w:rsidRPr="00D72869" w:rsidRDefault="0020161F" w:rsidP="0020161F">
      <w:pPr>
        <w:overflowPunct/>
        <w:autoSpaceDE/>
        <w:autoSpaceDN/>
        <w:adjustRightInd/>
        <w:spacing w:after="0"/>
        <w:jc w:val="both"/>
        <w:textAlignment w:val="auto"/>
        <w:rPr>
          <w:lang w:val="en-US"/>
        </w:rPr>
      </w:pPr>
    </w:p>
    <w:p w14:paraId="7FAB2112" w14:textId="77777777" w:rsidR="0020161F" w:rsidRDefault="0020161F" w:rsidP="000319F8">
      <w:pPr>
        <w:overflowPunct/>
        <w:autoSpaceDE/>
        <w:autoSpaceDN/>
        <w:adjustRightInd/>
        <w:spacing w:after="0"/>
        <w:jc w:val="both"/>
        <w:textAlignment w:val="auto"/>
        <w:rPr>
          <w:rFonts w:eastAsia="Times New Roman"/>
          <w:b/>
          <w:i/>
          <w:color w:val="000000"/>
          <w:lang w:val="en-US"/>
        </w:rPr>
      </w:pPr>
    </w:p>
    <w:p w14:paraId="277E72F7" w14:textId="77777777" w:rsidR="00B80994" w:rsidRDefault="00B80994" w:rsidP="00C70A34">
      <w:pPr>
        <w:pStyle w:val="Heading1"/>
        <w:jc w:val="both"/>
        <w:rPr>
          <w:b/>
          <w:lang w:val="en-US"/>
        </w:rPr>
      </w:pP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273289F9" w14:textId="77777777" w:rsidR="00A5674A" w:rsidRDefault="00CE401B" w:rsidP="00742A01">
      <w:pPr>
        <w:jc w:val="both"/>
        <w:rPr>
          <w:lang w:val="en-US" w:eastAsia="ko-KR"/>
        </w:rPr>
      </w:pPr>
      <w:r>
        <w:rPr>
          <w:lang w:val="en-US" w:eastAsia="ko-KR"/>
        </w:rPr>
        <w:t xml:space="preserve">[1] </w:t>
      </w:r>
      <w:r w:rsidR="00A5674A">
        <w:rPr>
          <w:lang w:val="en-US" w:eastAsia="ko-KR"/>
        </w:rPr>
        <w:t>RP-181477, “SID on Physical Layer Enhancements for NR URLLC,” RAN#80, June 2018</w:t>
      </w:r>
    </w:p>
    <w:p w14:paraId="247D895F" w14:textId="585F349A" w:rsidR="007B4F75" w:rsidRDefault="007B4F75" w:rsidP="00742A01">
      <w:pPr>
        <w:jc w:val="both"/>
        <w:rPr>
          <w:lang w:val="en-US" w:eastAsia="ko-KR"/>
        </w:rPr>
      </w:pPr>
      <w:r>
        <w:rPr>
          <w:lang w:val="en-US" w:eastAsia="ko-KR"/>
        </w:rPr>
        <w:t xml:space="preserve">[2] R1-1810224, “Summary of email discussion [94-NR-06] on additional simulation assumptions for Rel-16 NR URLLC,” Huawei, </w:t>
      </w:r>
      <w:proofErr w:type="spellStart"/>
      <w:r>
        <w:rPr>
          <w:lang w:val="en-US" w:eastAsia="ko-KR"/>
        </w:rPr>
        <w:t>HiSilicon</w:t>
      </w:r>
      <w:proofErr w:type="spellEnd"/>
      <w:r>
        <w:rPr>
          <w:lang w:val="en-US" w:eastAsia="ko-KR"/>
        </w:rPr>
        <w:t>, RAN1#94bis, October 2018.</w:t>
      </w:r>
    </w:p>
    <w:p w14:paraId="32EEF1D8" w14:textId="7C47DF5C" w:rsidR="00046626" w:rsidRDefault="00046626" w:rsidP="00046626">
      <w:pPr>
        <w:jc w:val="both"/>
        <w:rPr>
          <w:lang w:val="en-US" w:eastAsia="ko-KR"/>
        </w:rPr>
      </w:pPr>
      <w:r>
        <w:rPr>
          <w:lang w:val="en-US" w:eastAsia="ko-KR"/>
        </w:rPr>
        <w:t>[</w:t>
      </w:r>
      <w:r w:rsidR="007B4F75">
        <w:rPr>
          <w:lang w:val="en-US" w:eastAsia="ko-KR"/>
        </w:rPr>
        <w:t>3</w:t>
      </w:r>
      <w:r>
        <w:rPr>
          <w:lang w:val="en-US" w:eastAsia="ko-KR"/>
        </w:rPr>
        <w:t xml:space="preserve">] </w:t>
      </w:r>
      <w:r w:rsidRPr="00046626">
        <w:rPr>
          <w:lang w:val="en-US" w:eastAsia="ko-KR"/>
        </w:rPr>
        <w:t>The Tactile Internet</w:t>
      </w:r>
      <w:r>
        <w:rPr>
          <w:lang w:val="en-US" w:eastAsia="ko-KR"/>
        </w:rPr>
        <w:t xml:space="preserve">, </w:t>
      </w:r>
      <w:r w:rsidRPr="00046626">
        <w:rPr>
          <w:lang w:val="en-US" w:eastAsia="ko-KR"/>
        </w:rPr>
        <w:t>ITU-T Technology Watch Report</w:t>
      </w:r>
      <w:r>
        <w:rPr>
          <w:lang w:val="en-US" w:eastAsia="ko-KR"/>
        </w:rPr>
        <w:t xml:space="preserve">, </w:t>
      </w:r>
      <w:r w:rsidRPr="00046626">
        <w:rPr>
          <w:lang w:val="en-US" w:eastAsia="ko-KR"/>
        </w:rPr>
        <w:t>August 2014</w:t>
      </w:r>
      <w:r w:rsidR="00081364">
        <w:rPr>
          <w:lang w:val="en-US" w:eastAsia="ko-KR"/>
        </w:rPr>
        <w:t>.</w:t>
      </w:r>
    </w:p>
    <w:p w14:paraId="6C50CE6C" w14:textId="0965BFAE" w:rsidR="00E263D8" w:rsidRDefault="00E263D8" w:rsidP="00E263D8">
      <w:pPr>
        <w:jc w:val="both"/>
        <w:rPr>
          <w:lang w:val="en-US" w:eastAsia="ko-KR"/>
        </w:rPr>
      </w:pPr>
      <w:r>
        <w:rPr>
          <w:lang w:val="en-US" w:eastAsia="ko-KR"/>
        </w:rPr>
        <w:t xml:space="preserve">[4] N. </w:t>
      </w:r>
      <w:proofErr w:type="spellStart"/>
      <w:r>
        <w:rPr>
          <w:lang w:val="en-US" w:eastAsia="ko-KR"/>
        </w:rPr>
        <w:t>Brahmni</w:t>
      </w:r>
      <w:proofErr w:type="spellEnd"/>
      <w:r>
        <w:rPr>
          <w:lang w:val="en-US" w:eastAsia="ko-KR"/>
        </w:rPr>
        <w:t xml:space="preserve"> et al., Ericsson Research, “</w:t>
      </w:r>
      <w:r w:rsidRPr="00E263D8">
        <w:rPr>
          <w:lang w:val="en-US" w:eastAsia="ko-KR"/>
        </w:rPr>
        <w:t>Deployment Strategies for Ultra-Reliable and</w:t>
      </w:r>
      <w:r>
        <w:rPr>
          <w:lang w:val="en-US" w:eastAsia="ko-KR"/>
        </w:rPr>
        <w:t xml:space="preserve"> </w:t>
      </w:r>
      <w:r w:rsidRPr="00E263D8">
        <w:rPr>
          <w:lang w:val="en-US" w:eastAsia="ko-KR"/>
        </w:rPr>
        <w:t>Low-Latency Communication in Factory Automation</w:t>
      </w:r>
      <w:r>
        <w:rPr>
          <w:lang w:val="en-US" w:eastAsia="ko-KR"/>
        </w:rPr>
        <w:t xml:space="preserve">,” </w:t>
      </w:r>
      <w:r w:rsidRPr="00E263D8">
        <w:rPr>
          <w:lang w:val="en-US" w:eastAsia="ko-KR"/>
        </w:rPr>
        <w:t xml:space="preserve">2015 IEEE </w:t>
      </w:r>
      <w:proofErr w:type="spellStart"/>
      <w:r w:rsidRPr="00E263D8">
        <w:rPr>
          <w:lang w:val="en-US" w:eastAsia="ko-KR"/>
        </w:rPr>
        <w:t>Globecom</w:t>
      </w:r>
      <w:proofErr w:type="spellEnd"/>
      <w:r w:rsidRPr="00E263D8">
        <w:rPr>
          <w:lang w:val="en-US" w:eastAsia="ko-KR"/>
        </w:rPr>
        <w:t xml:space="preserve"> Workshops (GC </w:t>
      </w:r>
      <w:proofErr w:type="spellStart"/>
      <w:r w:rsidRPr="00E263D8">
        <w:rPr>
          <w:lang w:val="en-US" w:eastAsia="ko-KR"/>
        </w:rPr>
        <w:t>Wkshps</w:t>
      </w:r>
      <w:proofErr w:type="spellEnd"/>
      <w:r w:rsidRPr="00E263D8">
        <w:rPr>
          <w:lang w:val="en-US" w:eastAsia="ko-KR"/>
        </w:rPr>
        <w:t>)</w:t>
      </w:r>
      <w:r w:rsidR="00CC71EB">
        <w:rPr>
          <w:lang w:val="en-US" w:eastAsia="ko-KR"/>
        </w:rPr>
        <w:t>.</w:t>
      </w:r>
    </w:p>
    <w:p w14:paraId="5FCDFDA3" w14:textId="3AA3A9CF" w:rsidR="007B4F75" w:rsidRDefault="00081364" w:rsidP="00081364">
      <w:pPr>
        <w:jc w:val="both"/>
        <w:rPr>
          <w:lang w:val="en-US" w:eastAsia="ko-KR"/>
        </w:rPr>
      </w:pPr>
      <w:r>
        <w:rPr>
          <w:lang w:val="en-US" w:eastAsia="ko-KR"/>
        </w:rPr>
        <w:t>[</w:t>
      </w:r>
      <w:r w:rsidR="00CC71EB">
        <w:rPr>
          <w:lang w:val="en-US" w:eastAsia="ko-KR"/>
        </w:rPr>
        <w:t>5</w:t>
      </w:r>
      <w:r>
        <w:rPr>
          <w:lang w:val="en-US" w:eastAsia="ko-KR"/>
        </w:rPr>
        <w:t xml:space="preserve">] </w:t>
      </w:r>
      <w:r w:rsidRPr="00081364">
        <w:rPr>
          <w:lang w:val="en-US" w:eastAsia="ko-KR"/>
        </w:rPr>
        <w:t>Latency Critical IoT Applications in 5G:</w:t>
      </w:r>
      <w:r>
        <w:rPr>
          <w:lang w:val="en-US" w:eastAsia="ko-KR"/>
        </w:rPr>
        <w:t xml:space="preserve"> </w:t>
      </w:r>
      <w:r w:rsidRPr="00081364">
        <w:rPr>
          <w:lang w:val="en-US" w:eastAsia="ko-KR"/>
        </w:rPr>
        <w:t>Perspective on the Design of</w:t>
      </w:r>
      <w:r>
        <w:rPr>
          <w:lang w:val="en-US" w:eastAsia="ko-KR"/>
        </w:rPr>
        <w:t xml:space="preserve"> </w:t>
      </w:r>
      <w:r w:rsidRPr="00081364">
        <w:rPr>
          <w:lang w:val="en-US" w:eastAsia="ko-KR"/>
        </w:rPr>
        <w:t>Radio Interface and Network Architecture</w:t>
      </w:r>
      <w:r>
        <w:rPr>
          <w:lang w:val="en-US" w:eastAsia="ko-KR"/>
        </w:rPr>
        <w:t xml:space="preserve">, </w:t>
      </w:r>
      <w:r w:rsidRPr="00081364">
        <w:rPr>
          <w:lang w:val="en-US" w:eastAsia="ko-KR"/>
        </w:rPr>
        <w:t>IEEE Communications Magazine</w:t>
      </w:r>
      <w:r>
        <w:rPr>
          <w:lang w:val="en-US" w:eastAsia="ko-KR"/>
        </w:rPr>
        <w:t xml:space="preserve">, </w:t>
      </w:r>
      <w:r w:rsidRPr="00081364">
        <w:rPr>
          <w:lang w:val="en-US" w:eastAsia="ko-KR"/>
        </w:rPr>
        <w:t>February 2017</w:t>
      </w:r>
      <w:r>
        <w:rPr>
          <w:lang w:val="en-US" w:eastAsia="ko-KR"/>
        </w:rPr>
        <w:t>, pp. 70-78.</w:t>
      </w:r>
    </w:p>
    <w:p w14:paraId="3ECC6DC9" w14:textId="77777777" w:rsidR="008968AC" w:rsidRPr="008968AC" w:rsidRDefault="008968AC" w:rsidP="00BE0EFC">
      <w:pPr>
        <w:keepNext/>
        <w:keepLines/>
        <w:pBdr>
          <w:top w:val="single" w:sz="12" w:space="3" w:color="auto"/>
        </w:pBdr>
        <w:spacing w:before="240"/>
        <w:jc w:val="both"/>
        <w:outlineLvl w:val="0"/>
        <w:rPr>
          <w:b/>
        </w:rPr>
      </w:pPr>
    </w:p>
    <w:sectPr w:rsidR="008968AC" w:rsidRPr="008968AC"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1A6CA" w14:textId="77777777" w:rsidR="00E76286" w:rsidRDefault="00E76286" w:rsidP="006B05C3">
      <w:pPr>
        <w:spacing w:after="0"/>
      </w:pPr>
      <w:r>
        <w:separator/>
      </w:r>
    </w:p>
  </w:endnote>
  <w:endnote w:type="continuationSeparator" w:id="0">
    <w:p w14:paraId="4A7E0D4A" w14:textId="77777777" w:rsidR="00E76286" w:rsidRDefault="00E76286"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A339C" w14:textId="77777777" w:rsidR="00E76286" w:rsidRDefault="00E76286" w:rsidP="006B05C3">
      <w:pPr>
        <w:spacing w:after="0"/>
      </w:pPr>
      <w:r>
        <w:separator/>
      </w:r>
    </w:p>
  </w:footnote>
  <w:footnote w:type="continuationSeparator" w:id="0">
    <w:p w14:paraId="329CEB5E" w14:textId="77777777" w:rsidR="00E76286" w:rsidRDefault="00E76286"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6"/>
  </w:num>
  <w:num w:numId="5">
    <w:abstractNumId w:val="15"/>
  </w:num>
  <w:num w:numId="6">
    <w:abstractNumId w:val="18"/>
  </w:num>
  <w:num w:numId="7">
    <w:abstractNumId w:val="1"/>
  </w:num>
  <w:num w:numId="8">
    <w:abstractNumId w:val="2"/>
  </w:num>
  <w:num w:numId="9">
    <w:abstractNumId w:val="15"/>
  </w:num>
  <w:num w:numId="10">
    <w:abstractNumId w:val="0"/>
    <w:lvlOverride w:ilvl="0">
      <w:startOverride w:val="1"/>
    </w:lvlOverride>
  </w:num>
  <w:num w:numId="11">
    <w:abstractNumId w:val="17"/>
  </w:num>
  <w:num w:numId="12">
    <w:abstractNumId w:val="11"/>
  </w:num>
  <w:num w:numId="13">
    <w:abstractNumId w:val="19"/>
  </w:num>
  <w:num w:numId="14">
    <w:abstractNumId w:val="10"/>
  </w:num>
  <w:num w:numId="15">
    <w:abstractNumId w:val="13"/>
  </w:num>
  <w:num w:numId="16">
    <w:abstractNumId w:val="7"/>
  </w:num>
  <w:num w:numId="17">
    <w:abstractNumId w:val="6"/>
  </w:num>
  <w:num w:numId="18">
    <w:abstractNumId w:val="5"/>
  </w:num>
  <w:num w:numId="19">
    <w:abstractNumId w:val="3"/>
  </w:num>
  <w:num w:numId="20">
    <w:abstractNumId w:val="9"/>
  </w:num>
  <w:num w:numId="21">
    <w:abstractNumId w:val="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7664"/>
    <w:rsid w:val="000103FA"/>
    <w:rsid w:val="0001053F"/>
    <w:rsid w:val="000105B1"/>
    <w:rsid w:val="00013D2C"/>
    <w:rsid w:val="000145C7"/>
    <w:rsid w:val="00022344"/>
    <w:rsid w:val="00022FD8"/>
    <w:rsid w:val="000306AE"/>
    <w:rsid w:val="000319F8"/>
    <w:rsid w:val="00031A8C"/>
    <w:rsid w:val="00034107"/>
    <w:rsid w:val="00035F02"/>
    <w:rsid w:val="00036276"/>
    <w:rsid w:val="00041187"/>
    <w:rsid w:val="00041355"/>
    <w:rsid w:val="00041AD3"/>
    <w:rsid w:val="00046626"/>
    <w:rsid w:val="0004768A"/>
    <w:rsid w:val="000514BC"/>
    <w:rsid w:val="000514D6"/>
    <w:rsid w:val="00056062"/>
    <w:rsid w:val="00067E4B"/>
    <w:rsid w:val="00071757"/>
    <w:rsid w:val="00072891"/>
    <w:rsid w:val="000750B8"/>
    <w:rsid w:val="00081364"/>
    <w:rsid w:val="000A09F8"/>
    <w:rsid w:val="000A2879"/>
    <w:rsid w:val="000A63EF"/>
    <w:rsid w:val="000B427D"/>
    <w:rsid w:val="000D249F"/>
    <w:rsid w:val="000D2A1E"/>
    <w:rsid w:val="000D513C"/>
    <w:rsid w:val="000E0C0F"/>
    <w:rsid w:val="000E77A8"/>
    <w:rsid w:val="000F1CD3"/>
    <w:rsid w:val="000F43CF"/>
    <w:rsid w:val="000F67EA"/>
    <w:rsid w:val="000F7B5E"/>
    <w:rsid w:val="001009E4"/>
    <w:rsid w:val="001031BF"/>
    <w:rsid w:val="00112ECF"/>
    <w:rsid w:val="00116797"/>
    <w:rsid w:val="001215D9"/>
    <w:rsid w:val="001247D1"/>
    <w:rsid w:val="00126E64"/>
    <w:rsid w:val="001312AB"/>
    <w:rsid w:val="00132A3E"/>
    <w:rsid w:val="00134DB5"/>
    <w:rsid w:val="001466C9"/>
    <w:rsid w:val="00151C95"/>
    <w:rsid w:val="00153F16"/>
    <w:rsid w:val="00161479"/>
    <w:rsid w:val="00166507"/>
    <w:rsid w:val="00167F00"/>
    <w:rsid w:val="00170132"/>
    <w:rsid w:val="00170D64"/>
    <w:rsid w:val="00172A73"/>
    <w:rsid w:val="00182A50"/>
    <w:rsid w:val="0018568D"/>
    <w:rsid w:val="00187740"/>
    <w:rsid w:val="00190206"/>
    <w:rsid w:val="0019251D"/>
    <w:rsid w:val="00194B28"/>
    <w:rsid w:val="001A09B7"/>
    <w:rsid w:val="001B6328"/>
    <w:rsid w:val="001C0B82"/>
    <w:rsid w:val="001C460B"/>
    <w:rsid w:val="001C6923"/>
    <w:rsid w:val="001D0F2B"/>
    <w:rsid w:val="001D3AE8"/>
    <w:rsid w:val="001D6D8C"/>
    <w:rsid w:val="001E14A2"/>
    <w:rsid w:val="001E1D0D"/>
    <w:rsid w:val="001E52E0"/>
    <w:rsid w:val="001E63F5"/>
    <w:rsid w:val="001E69A2"/>
    <w:rsid w:val="001F0AE0"/>
    <w:rsid w:val="001F1907"/>
    <w:rsid w:val="001F2D54"/>
    <w:rsid w:val="001F3FFB"/>
    <w:rsid w:val="001F4F69"/>
    <w:rsid w:val="0020161F"/>
    <w:rsid w:val="00211670"/>
    <w:rsid w:val="00213BDF"/>
    <w:rsid w:val="00214E45"/>
    <w:rsid w:val="0022323F"/>
    <w:rsid w:val="00224BEE"/>
    <w:rsid w:val="00227379"/>
    <w:rsid w:val="00231450"/>
    <w:rsid w:val="00232A8C"/>
    <w:rsid w:val="0024665C"/>
    <w:rsid w:val="00250158"/>
    <w:rsid w:val="00250FB1"/>
    <w:rsid w:val="00260F28"/>
    <w:rsid w:val="00261BA0"/>
    <w:rsid w:val="002629AF"/>
    <w:rsid w:val="00262DEF"/>
    <w:rsid w:val="0026559C"/>
    <w:rsid w:val="00265758"/>
    <w:rsid w:val="00266559"/>
    <w:rsid w:val="00272733"/>
    <w:rsid w:val="002766FE"/>
    <w:rsid w:val="00280840"/>
    <w:rsid w:val="002833D2"/>
    <w:rsid w:val="002934B5"/>
    <w:rsid w:val="002A0579"/>
    <w:rsid w:val="002A1239"/>
    <w:rsid w:val="002A5B0E"/>
    <w:rsid w:val="002A7DEB"/>
    <w:rsid w:val="002B34C2"/>
    <w:rsid w:val="002B44C6"/>
    <w:rsid w:val="002C0A3E"/>
    <w:rsid w:val="002C2064"/>
    <w:rsid w:val="002C2A65"/>
    <w:rsid w:val="002C426B"/>
    <w:rsid w:val="002C4878"/>
    <w:rsid w:val="002C5108"/>
    <w:rsid w:val="002C6F39"/>
    <w:rsid w:val="002C7751"/>
    <w:rsid w:val="002D34BE"/>
    <w:rsid w:val="002D4773"/>
    <w:rsid w:val="002D61A2"/>
    <w:rsid w:val="002D7776"/>
    <w:rsid w:val="002E1B8B"/>
    <w:rsid w:val="002E1D90"/>
    <w:rsid w:val="002E30BC"/>
    <w:rsid w:val="002E492A"/>
    <w:rsid w:val="002E5662"/>
    <w:rsid w:val="002E6138"/>
    <w:rsid w:val="002F4309"/>
    <w:rsid w:val="002F4434"/>
    <w:rsid w:val="002F4F16"/>
    <w:rsid w:val="00303CB7"/>
    <w:rsid w:val="00306B80"/>
    <w:rsid w:val="00306C0C"/>
    <w:rsid w:val="0032322A"/>
    <w:rsid w:val="00323BCB"/>
    <w:rsid w:val="003254EC"/>
    <w:rsid w:val="003276B5"/>
    <w:rsid w:val="00333A48"/>
    <w:rsid w:val="00337159"/>
    <w:rsid w:val="00343C49"/>
    <w:rsid w:val="00350A9B"/>
    <w:rsid w:val="00351F5A"/>
    <w:rsid w:val="0035444A"/>
    <w:rsid w:val="003572E8"/>
    <w:rsid w:val="003577EE"/>
    <w:rsid w:val="003617B1"/>
    <w:rsid w:val="00365152"/>
    <w:rsid w:val="003662FB"/>
    <w:rsid w:val="0037049D"/>
    <w:rsid w:val="00370A30"/>
    <w:rsid w:val="003803DE"/>
    <w:rsid w:val="003820FF"/>
    <w:rsid w:val="00382DF5"/>
    <w:rsid w:val="00393D2C"/>
    <w:rsid w:val="00396306"/>
    <w:rsid w:val="003A34E1"/>
    <w:rsid w:val="003A5C0D"/>
    <w:rsid w:val="003B2220"/>
    <w:rsid w:val="003B34AE"/>
    <w:rsid w:val="003B5A46"/>
    <w:rsid w:val="003C01AF"/>
    <w:rsid w:val="003C2976"/>
    <w:rsid w:val="003C38BF"/>
    <w:rsid w:val="003C7B30"/>
    <w:rsid w:val="003D4990"/>
    <w:rsid w:val="003D677A"/>
    <w:rsid w:val="003E2F97"/>
    <w:rsid w:val="003E52F4"/>
    <w:rsid w:val="003F0B59"/>
    <w:rsid w:val="003F631B"/>
    <w:rsid w:val="003F7FD0"/>
    <w:rsid w:val="00404B5E"/>
    <w:rsid w:val="00405FAF"/>
    <w:rsid w:val="00411323"/>
    <w:rsid w:val="00415CDF"/>
    <w:rsid w:val="004276A9"/>
    <w:rsid w:val="00433495"/>
    <w:rsid w:val="00440606"/>
    <w:rsid w:val="00440C17"/>
    <w:rsid w:val="004427D4"/>
    <w:rsid w:val="0044501F"/>
    <w:rsid w:val="00451747"/>
    <w:rsid w:val="00452293"/>
    <w:rsid w:val="00460721"/>
    <w:rsid w:val="00460784"/>
    <w:rsid w:val="00477771"/>
    <w:rsid w:val="00486F35"/>
    <w:rsid w:val="004877A3"/>
    <w:rsid w:val="0049161B"/>
    <w:rsid w:val="004A0D8C"/>
    <w:rsid w:val="004A729D"/>
    <w:rsid w:val="004B3B2B"/>
    <w:rsid w:val="004D2943"/>
    <w:rsid w:val="004D6593"/>
    <w:rsid w:val="004E1DBB"/>
    <w:rsid w:val="004F159D"/>
    <w:rsid w:val="004F2D57"/>
    <w:rsid w:val="004F3F1A"/>
    <w:rsid w:val="004F432F"/>
    <w:rsid w:val="00500128"/>
    <w:rsid w:val="005061EC"/>
    <w:rsid w:val="00506F15"/>
    <w:rsid w:val="00514B7B"/>
    <w:rsid w:val="00515D1D"/>
    <w:rsid w:val="0051645D"/>
    <w:rsid w:val="005262A6"/>
    <w:rsid w:val="005321BF"/>
    <w:rsid w:val="0054247A"/>
    <w:rsid w:val="00544813"/>
    <w:rsid w:val="00546334"/>
    <w:rsid w:val="005471B1"/>
    <w:rsid w:val="00547C2D"/>
    <w:rsid w:val="0055299E"/>
    <w:rsid w:val="00563884"/>
    <w:rsid w:val="00573450"/>
    <w:rsid w:val="005748FC"/>
    <w:rsid w:val="00587E82"/>
    <w:rsid w:val="00590F96"/>
    <w:rsid w:val="00591C44"/>
    <w:rsid w:val="00592CDB"/>
    <w:rsid w:val="005A01DD"/>
    <w:rsid w:val="005A1BAF"/>
    <w:rsid w:val="005A2094"/>
    <w:rsid w:val="005A74B1"/>
    <w:rsid w:val="005B1832"/>
    <w:rsid w:val="005B2180"/>
    <w:rsid w:val="005C5978"/>
    <w:rsid w:val="005D15C0"/>
    <w:rsid w:val="005D51B8"/>
    <w:rsid w:val="005E0C94"/>
    <w:rsid w:val="005E257E"/>
    <w:rsid w:val="005E4189"/>
    <w:rsid w:val="005E4AB5"/>
    <w:rsid w:val="005E7C9E"/>
    <w:rsid w:val="005F32C8"/>
    <w:rsid w:val="0060184B"/>
    <w:rsid w:val="00604A7D"/>
    <w:rsid w:val="00614C14"/>
    <w:rsid w:val="00623C4E"/>
    <w:rsid w:val="00625613"/>
    <w:rsid w:val="00627429"/>
    <w:rsid w:val="00633E9A"/>
    <w:rsid w:val="00633F6E"/>
    <w:rsid w:val="00636AAE"/>
    <w:rsid w:val="006415B5"/>
    <w:rsid w:val="00641BE8"/>
    <w:rsid w:val="00647485"/>
    <w:rsid w:val="00652B8D"/>
    <w:rsid w:val="00653B96"/>
    <w:rsid w:val="0065678A"/>
    <w:rsid w:val="0065752E"/>
    <w:rsid w:val="00657A37"/>
    <w:rsid w:val="006800FD"/>
    <w:rsid w:val="0068177E"/>
    <w:rsid w:val="00681B97"/>
    <w:rsid w:val="006849A0"/>
    <w:rsid w:val="00690A97"/>
    <w:rsid w:val="006937D1"/>
    <w:rsid w:val="006A1E13"/>
    <w:rsid w:val="006A32D8"/>
    <w:rsid w:val="006A4EFC"/>
    <w:rsid w:val="006B05C3"/>
    <w:rsid w:val="006B2D1C"/>
    <w:rsid w:val="006B6FCF"/>
    <w:rsid w:val="006C15B8"/>
    <w:rsid w:val="006C5F25"/>
    <w:rsid w:val="006D248F"/>
    <w:rsid w:val="006D62D5"/>
    <w:rsid w:val="006E1602"/>
    <w:rsid w:val="006E324C"/>
    <w:rsid w:val="006E7DED"/>
    <w:rsid w:val="006F1A3B"/>
    <w:rsid w:val="006F447A"/>
    <w:rsid w:val="007049ED"/>
    <w:rsid w:val="00710C07"/>
    <w:rsid w:val="0071157D"/>
    <w:rsid w:val="0071468B"/>
    <w:rsid w:val="00716600"/>
    <w:rsid w:val="00717834"/>
    <w:rsid w:val="007200F7"/>
    <w:rsid w:val="00721B7C"/>
    <w:rsid w:val="00722D22"/>
    <w:rsid w:val="00725008"/>
    <w:rsid w:val="007252C7"/>
    <w:rsid w:val="00725B38"/>
    <w:rsid w:val="007402B4"/>
    <w:rsid w:val="007409E8"/>
    <w:rsid w:val="00740ECD"/>
    <w:rsid w:val="00742A01"/>
    <w:rsid w:val="007434BD"/>
    <w:rsid w:val="007439D6"/>
    <w:rsid w:val="00747CED"/>
    <w:rsid w:val="00755BF4"/>
    <w:rsid w:val="007618FD"/>
    <w:rsid w:val="0076772F"/>
    <w:rsid w:val="007843D4"/>
    <w:rsid w:val="00791A49"/>
    <w:rsid w:val="007932A8"/>
    <w:rsid w:val="00797F10"/>
    <w:rsid w:val="007A002D"/>
    <w:rsid w:val="007A0AF1"/>
    <w:rsid w:val="007A1C09"/>
    <w:rsid w:val="007A7AB4"/>
    <w:rsid w:val="007B0E9B"/>
    <w:rsid w:val="007B33EE"/>
    <w:rsid w:val="007B4F75"/>
    <w:rsid w:val="007C0011"/>
    <w:rsid w:val="007C0F63"/>
    <w:rsid w:val="007C29C9"/>
    <w:rsid w:val="007C3C66"/>
    <w:rsid w:val="007C4F07"/>
    <w:rsid w:val="007C7FE8"/>
    <w:rsid w:val="007D67BB"/>
    <w:rsid w:val="007E4F51"/>
    <w:rsid w:val="007F1C59"/>
    <w:rsid w:val="007F7031"/>
    <w:rsid w:val="007F7078"/>
    <w:rsid w:val="007F786C"/>
    <w:rsid w:val="008026E3"/>
    <w:rsid w:val="00804D9A"/>
    <w:rsid w:val="00805E9F"/>
    <w:rsid w:val="008106C6"/>
    <w:rsid w:val="00812EDC"/>
    <w:rsid w:val="00814A77"/>
    <w:rsid w:val="008157B0"/>
    <w:rsid w:val="008221AA"/>
    <w:rsid w:val="00822BE0"/>
    <w:rsid w:val="00825FDE"/>
    <w:rsid w:val="00827E51"/>
    <w:rsid w:val="0083187A"/>
    <w:rsid w:val="00842222"/>
    <w:rsid w:val="00843911"/>
    <w:rsid w:val="008470A4"/>
    <w:rsid w:val="0085656C"/>
    <w:rsid w:val="008574C1"/>
    <w:rsid w:val="0086102A"/>
    <w:rsid w:val="0086163A"/>
    <w:rsid w:val="0086581E"/>
    <w:rsid w:val="008674FB"/>
    <w:rsid w:val="00875FA5"/>
    <w:rsid w:val="00882F3D"/>
    <w:rsid w:val="00883A5B"/>
    <w:rsid w:val="0088515B"/>
    <w:rsid w:val="008915F9"/>
    <w:rsid w:val="008936EE"/>
    <w:rsid w:val="00895594"/>
    <w:rsid w:val="00895C39"/>
    <w:rsid w:val="008968AC"/>
    <w:rsid w:val="00897A36"/>
    <w:rsid w:val="008A5D85"/>
    <w:rsid w:val="008B0C44"/>
    <w:rsid w:val="008B19AB"/>
    <w:rsid w:val="008B1A67"/>
    <w:rsid w:val="008B1A8A"/>
    <w:rsid w:val="008C3520"/>
    <w:rsid w:val="008C39F0"/>
    <w:rsid w:val="008C4CDC"/>
    <w:rsid w:val="008D1339"/>
    <w:rsid w:val="008D359C"/>
    <w:rsid w:val="008D3F55"/>
    <w:rsid w:val="008D4350"/>
    <w:rsid w:val="008D458E"/>
    <w:rsid w:val="008D5A0C"/>
    <w:rsid w:val="008E3EB7"/>
    <w:rsid w:val="008F4270"/>
    <w:rsid w:val="008F4691"/>
    <w:rsid w:val="0090314A"/>
    <w:rsid w:val="0090504B"/>
    <w:rsid w:val="009054F1"/>
    <w:rsid w:val="00913654"/>
    <w:rsid w:val="0093072A"/>
    <w:rsid w:val="0093486A"/>
    <w:rsid w:val="00934AEF"/>
    <w:rsid w:val="00936813"/>
    <w:rsid w:val="00942DD9"/>
    <w:rsid w:val="009500B0"/>
    <w:rsid w:val="0095203C"/>
    <w:rsid w:val="00952840"/>
    <w:rsid w:val="00953C6B"/>
    <w:rsid w:val="00965268"/>
    <w:rsid w:val="00966D66"/>
    <w:rsid w:val="0097063D"/>
    <w:rsid w:val="00970EEA"/>
    <w:rsid w:val="0097312F"/>
    <w:rsid w:val="00982334"/>
    <w:rsid w:val="00982382"/>
    <w:rsid w:val="00984169"/>
    <w:rsid w:val="00985AAD"/>
    <w:rsid w:val="00985E4C"/>
    <w:rsid w:val="00991F36"/>
    <w:rsid w:val="00995124"/>
    <w:rsid w:val="00995E1F"/>
    <w:rsid w:val="009A0281"/>
    <w:rsid w:val="009A1DE8"/>
    <w:rsid w:val="009A3992"/>
    <w:rsid w:val="009A5725"/>
    <w:rsid w:val="009B4189"/>
    <w:rsid w:val="009B55F1"/>
    <w:rsid w:val="009C2293"/>
    <w:rsid w:val="009C6E9D"/>
    <w:rsid w:val="009D0E3C"/>
    <w:rsid w:val="009D3175"/>
    <w:rsid w:val="009D71D8"/>
    <w:rsid w:val="009E25B0"/>
    <w:rsid w:val="009E43DA"/>
    <w:rsid w:val="009F2FD1"/>
    <w:rsid w:val="009F5198"/>
    <w:rsid w:val="009F647E"/>
    <w:rsid w:val="009F6B13"/>
    <w:rsid w:val="009F6E9C"/>
    <w:rsid w:val="009F7244"/>
    <w:rsid w:val="00A076AC"/>
    <w:rsid w:val="00A162BE"/>
    <w:rsid w:val="00A2421D"/>
    <w:rsid w:val="00A27EE2"/>
    <w:rsid w:val="00A27F18"/>
    <w:rsid w:val="00A31992"/>
    <w:rsid w:val="00A34DA9"/>
    <w:rsid w:val="00A369E3"/>
    <w:rsid w:val="00A411EF"/>
    <w:rsid w:val="00A47468"/>
    <w:rsid w:val="00A47ABE"/>
    <w:rsid w:val="00A56106"/>
    <w:rsid w:val="00A5674A"/>
    <w:rsid w:val="00A65C6A"/>
    <w:rsid w:val="00A72533"/>
    <w:rsid w:val="00A74237"/>
    <w:rsid w:val="00A75280"/>
    <w:rsid w:val="00A83312"/>
    <w:rsid w:val="00A92B6A"/>
    <w:rsid w:val="00A94AE5"/>
    <w:rsid w:val="00AB4261"/>
    <w:rsid w:val="00AB57CD"/>
    <w:rsid w:val="00AC2CA8"/>
    <w:rsid w:val="00AC6C0B"/>
    <w:rsid w:val="00AE088D"/>
    <w:rsid w:val="00AE6F53"/>
    <w:rsid w:val="00AF17FE"/>
    <w:rsid w:val="00AF3FE7"/>
    <w:rsid w:val="00AF4D6E"/>
    <w:rsid w:val="00AF5FDC"/>
    <w:rsid w:val="00B16FB0"/>
    <w:rsid w:val="00B2021A"/>
    <w:rsid w:val="00B216E2"/>
    <w:rsid w:val="00B22AF0"/>
    <w:rsid w:val="00B234C7"/>
    <w:rsid w:val="00B31765"/>
    <w:rsid w:val="00B40F27"/>
    <w:rsid w:val="00B42648"/>
    <w:rsid w:val="00B43AF5"/>
    <w:rsid w:val="00B4573B"/>
    <w:rsid w:val="00B51185"/>
    <w:rsid w:val="00B52DFC"/>
    <w:rsid w:val="00B60516"/>
    <w:rsid w:val="00B66FC9"/>
    <w:rsid w:val="00B671E1"/>
    <w:rsid w:val="00B706D6"/>
    <w:rsid w:val="00B70CBB"/>
    <w:rsid w:val="00B71CAC"/>
    <w:rsid w:val="00B71EE7"/>
    <w:rsid w:val="00B72611"/>
    <w:rsid w:val="00B74012"/>
    <w:rsid w:val="00B80994"/>
    <w:rsid w:val="00B83ABB"/>
    <w:rsid w:val="00B8501E"/>
    <w:rsid w:val="00B8636F"/>
    <w:rsid w:val="00B86C34"/>
    <w:rsid w:val="00B94EB3"/>
    <w:rsid w:val="00BA4C54"/>
    <w:rsid w:val="00BB2387"/>
    <w:rsid w:val="00BB3FF1"/>
    <w:rsid w:val="00BB6092"/>
    <w:rsid w:val="00BC65AD"/>
    <w:rsid w:val="00BE0EFC"/>
    <w:rsid w:val="00BE49D5"/>
    <w:rsid w:val="00BE6342"/>
    <w:rsid w:val="00BE7800"/>
    <w:rsid w:val="00BF37A2"/>
    <w:rsid w:val="00BF4424"/>
    <w:rsid w:val="00BF727F"/>
    <w:rsid w:val="00BF7415"/>
    <w:rsid w:val="00C000E8"/>
    <w:rsid w:val="00C00459"/>
    <w:rsid w:val="00C16D97"/>
    <w:rsid w:val="00C22A67"/>
    <w:rsid w:val="00C25EE7"/>
    <w:rsid w:val="00C32E6F"/>
    <w:rsid w:val="00C35915"/>
    <w:rsid w:val="00C4144D"/>
    <w:rsid w:val="00C415E9"/>
    <w:rsid w:val="00C423FD"/>
    <w:rsid w:val="00C46E7B"/>
    <w:rsid w:val="00C4717C"/>
    <w:rsid w:val="00C50AF6"/>
    <w:rsid w:val="00C50F1F"/>
    <w:rsid w:val="00C53D70"/>
    <w:rsid w:val="00C55D55"/>
    <w:rsid w:val="00C70A34"/>
    <w:rsid w:val="00C745F1"/>
    <w:rsid w:val="00C826B6"/>
    <w:rsid w:val="00C8449F"/>
    <w:rsid w:val="00C87B9A"/>
    <w:rsid w:val="00C909DA"/>
    <w:rsid w:val="00C91E8D"/>
    <w:rsid w:val="00CA050B"/>
    <w:rsid w:val="00CA3791"/>
    <w:rsid w:val="00CB1FE2"/>
    <w:rsid w:val="00CC0EA1"/>
    <w:rsid w:val="00CC1E1C"/>
    <w:rsid w:val="00CC71EB"/>
    <w:rsid w:val="00CD2E12"/>
    <w:rsid w:val="00CE1328"/>
    <w:rsid w:val="00CE401B"/>
    <w:rsid w:val="00CF4316"/>
    <w:rsid w:val="00CF58E5"/>
    <w:rsid w:val="00CF7372"/>
    <w:rsid w:val="00D05E9D"/>
    <w:rsid w:val="00D06802"/>
    <w:rsid w:val="00D11A28"/>
    <w:rsid w:val="00D17A2D"/>
    <w:rsid w:val="00D20DD9"/>
    <w:rsid w:val="00D31C31"/>
    <w:rsid w:val="00D34CC5"/>
    <w:rsid w:val="00D34F49"/>
    <w:rsid w:val="00D361BC"/>
    <w:rsid w:val="00D37250"/>
    <w:rsid w:val="00D46C7D"/>
    <w:rsid w:val="00D47E09"/>
    <w:rsid w:val="00D47F63"/>
    <w:rsid w:val="00D501CD"/>
    <w:rsid w:val="00D56CF6"/>
    <w:rsid w:val="00D65454"/>
    <w:rsid w:val="00D66FBC"/>
    <w:rsid w:val="00D72346"/>
    <w:rsid w:val="00D72869"/>
    <w:rsid w:val="00D73645"/>
    <w:rsid w:val="00D82EF4"/>
    <w:rsid w:val="00D83948"/>
    <w:rsid w:val="00D851DE"/>
    <w:rsid w:val="00D858C6"/>
    <w:rsid w:val="00D8770A"/>
    <w:rsid w:val="00D94D14"/>
    <w:rsid w:val="00DA548E"/>
    <w:rsid w:val="00DC2CB3"/>
    <w:rsid w:val="00DD0344"/>
    <w:rsid w:val="00DD0CB9"/>
    <w:rsid w:val="00DD6AEC"/>
    <w:rsid w:val="00DD7492"/>
    <w:rsid w:val="00DE1E25"/>
    <w:rsid w:val="00E00753"/>
    <w:rsid w:val="00E02F20"/>
    <w:rsid w:val="00E0303B"/>
    <w:rsid w:val="00E0488D"/>
    <w:rsid w:val="00E050A1"/>
    <w:rsid w:val="00E11296"/>
    <w:rsid w:val="00E12DD3"/>
    <w:rsid w:val="00E13B90"/>
    <w:rsid w:val="00E2063A"/>
    <w:rsid w:val="00E263D8"/>
    <w:rsid w:val="00E30C3B"/>
    <w:rsid w:val="00E3307A"/>
    <w:rsid w:val="00E348E7"/>
    <w:rsid w:val="00E361A7"/>
    <w:rsid w:val="00E42C31"/>
    <w:rsid w:val="00E477B3"/>
    <w:rsid w:val="00E55D07"/>
    <w:rsid w:val="00E609D5"/>
    <w:rsid w:val="00E67DA8"/>
    <w:rsid w:val="00E72ADD"/>
    <w:rsid w:val="00E73776"/>
    <w:rsid w:val="00E76286"/>
    <w:rsid w:val="00E829C8"/>
    <w:rsid w:val="00E84023"/>
    <w:rsid w:val="00E85EE4"/>
    <w:rsid w:val="00E87DE6"/>
    <w:rsid w:val="00E87FF9"/>
    <w:rsid w:val="00E94C52"/>
    <w:rsid w:val="00EA310F"/>
    <w:rsid w:val="00EA3244"/>
    <w:rsid w:val="00EA4BF1"/>
    <w:rsid w:val="00EB49D9"/>
    <w:rsid w:val="00EB4EF1"/>
    <w:rsid w:val="00EB5ABC"/>
    <w:rsid w:val="00EB7B82"/>
    <w:rsid w:val="00EC0170"/>
    <w:rsid w:val="00EC29BD"/>
    <w:rsid w:val="00EC375E"/>
    <w:rsid w:val="00EC58FF"/>
    <w:rsid w:val="00ED18ED"/>
    <w:rsid w:val="00ED1A66"/>
    <w:rsid w:val="00ED1D31"/>
    <w:rsid w:val="00ED1D79"/>
    <w:rsid w:val="00ED219A"/>
    <w:rsid w:val="00ED4C9E"/>
    <w:rsid w:val="00EE05EC"/>
    <w:rsid w:val="00EE297B"/>
    <w:rsid w:val="00EE629F"/>
    <w:rsid w:val="00EF6FFC"/>
    <w:rsid w:val="00F004F4"/>
    <w:rsid w:val="00F042CD"/>
    <w:rsid w:val="00F12C03"/>
    <w:rsid w:val="00F138C6"/>
    <w:rsid w:val="00F15248"/>
    <w:rsid w:val="00F15E83"/>
    <w:rsid w:val="00F216EE"/>
    <w:rsid w:val="00F21C37"/>
    <w:rsid w:val="00F26846"/>
    <w:rsid w:val="00F306B7"/>
    <w:rsid w:val="00F36B15"/>
    <w:rsid w:val="00F40652"/>
    <w:rsid w:val="00F42206"/>
    <w:rsid w:val="00F43AE5"/>
    <w:rsid w:val="00F50B2B"/>
    <w:rsid w:val="00F54DF7"/>
    <w:rsid w:val="00F54EC6"/>
    <w:rsid w:val="00F60992"/>
    <w:rsid w:val="00F60C57"/>
    <w:rsid w:val="00F6382B"/>
    <w:rsid w:val="00F6420E"/>
    <w:rsid w:val="00F6675C"/>
    <w:rsid w:val="00F70BF0"/>
    <w:rsid w:val="00F7289A"/>
    <w:rsid w:val="00F7403A"/>
    <w:rsid w:val="00F7421F"/>
    <w:rsid w:val="00F80E23"/>
    <w:rsid w:val="00F847BB"/>
    <w:rsid w:val="00F85CDC"/>
    <w:rsid w:val="00F86D50"/>
    <w:rsid w:val="00F90D9D"/>
    <w:rsid w:val="00F913F2"/>
    <w:rsid w:val="00F95335"/>
    <w:rsid w:val="00F95A6B"/>
    <w:rsid w:val="00F95FBB"/>
    <w:rsid w:val="00FA2091"/>
    <w:rsid w:val="00FA2E28"/>
    <w:rsid w:val="00FA74C5"/>
    <w:rsid w:val="00FA75AB"/>
    <w:rsid w:val="00FC20D9"/>
    <w:rsid w:val="00FC223B"/>
    <w:rsid w:val="00FC37D1"/>
    <w:rsid w:val="00FC6F69"/>
    <w:rsid w:val="00FC7B91"/>
    <w:rsid w:val="00FD0EBC"/>
    <w:rsid w:val="00FD63C0"/>
    <w:rsid w:val="00FF105E"/>
    <w:rsid w:val="00FF1AAD"/>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2018-09-26T14:33:00Z</dcterms:created>
  <dcterms:modified xsi:type="dcterms:W3CDTF">2018-09-28T18:36:00Z</dcterms:modified>
  <cp:category/>
</cp:coreProperties>
</file>